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F67DD" w14:textId="77777777" w:rsidR="00565FE5" w:rsidRPr="00B07C4A" w:rsidRDefault="00000000">
      <w:pPr>
        <w:spacing w:after="0" w:line="259" w:lineRule="auto"/>
        <w:ind w:left="245" w:right="0" w:firstLine="0"/>
        <w:jc w:val="left"/>
        <w:rPr>
          <w:rFonts w:asciiTheme="majorBidi" w:hAnsiTheme="majorBidi" w:cstheme="majorBidi"/>
        </w:rPr>
      </w:pPr>
      <w:r>
        <w:rPr>
          <w:b/>
          <w:sz w:val="22"/>
        </w:rPr>
        <w:t xml:space="preserve"> </w:t>
      </w:r>
    </w:p>
    <w:p w14:paraId="56204E38" w14:textId="77777777" w:rsidR="00565FE5" w:rsidRPr="00B07C4A" w:rsidRDefault="00000000">
      <w:pPr>
        <w:spacing w:after="0" w:line="259" w:lineRule="auto"/>
        <w:ind w:left="254" w:right="3" w:hanging="10"/>
        <w:jc w:val="center"/>
        <w:rPr>
          <w:rFonts w:asciiTheme="majorBidi" w:hAnsiTheme="majorBidi" w:cstheme="majorBidi"/>
          <w:sz w:val="24"/>
          <w:szCs w:val="24"/>
        </w:rPr>
      </w:pPr>
      <w:r w:rsidRPr="00B07C4A">
        <w:rPr>
          <w:rFonts w:asciiTheme="majorBidi" w:hAnsiTheme="majorBidi" w:cstheme="majorBidi"/>
          <w:b/>
          <w:sz w:val="24"/>
          <w:szCs w:val="24"/>
        </w:rPr>
        <w:t xml:space="preserve">Haut-Commissariat des Nations Unies aux Droits de l’Homme au Tchad </w:t>
      </w:r>
    </w:p>
    <w:p w14:paraId="30659861" w14:textId="77777777" w:rsidR="00565FE5" w:rsidRPr="00B07C4A" w:rsidRDefault="00000000" w:rsidP="00236945">
      <w:pPr>
        <w:spacing w:after="0" w:line="259" w:lineRule="auto"/>
        <w:ind w:left="0" w:right="0" w:firstLine="0"/>
        <w:rPr>
          <w:rFonts w:asciiTheme="majorBidi" w:hAnsiTheme="majorBidi" w:cstheme="majorBidi"/>
          <w:sz w:val="24"/>
          <w:szCs w:val="24"/>
        </w:rPr>
      </w:pPr>
      <w:r w:rsidRPr="00B07C4A">
        <w:rPr>
          <w:rFonts w:asciiTheme="majorBidi" w:hAnsiTheme="majorBidi" w:cstheme="majorBidi"/>
          <w:b/>
          <w:sz w:val="24"/>
          <w:szCs w:val="24"/>
        </w:rPr>
        <w:t xml:space="preserve"> </w:t>
      </w:r>
    </w:p>
    <w:p w14:paraId="3D7AEA8B" w14:textId="2F84BA74" w:rsidR="00915717" w:rsidRPr="00B07C4A" w:rsidRDefault="00000000" w:rsidP="00915717">
      <w:pPr>
        <w:spacing w:after="0" w:line="259" w:lineRule="auto"/>
        <w:ind w:left="243" w:right="0" w:firstLine="0"/>
        <w:jc w:val="center"/>
        <w:rPr>
          <w:rFonts w:asciiTheme="majorBidi" w:hAnsiTheme="majorBidi" w:cstheme="majorBidi"/>
          <w:b/>
          <w:sz w:val="24"/>
          <w:szCs w:val="24"/>
        </w:rPr>
      </w:pPr>
      <w:r w:rsidRPr="00B07C4A">
        <w:rPr>
          <w:rFonts w:asciiTheme="majorBidi" w:hAnsiTheme="majorBidi" w:cstheme="majorBidi"/>
          <w:b/>
          <w:sz w:val="24"/>
          <w:szCs w:val="24"/>
          <w:u w:val="single" w:color="000000"/>
        </w:rPr>
        <w:t>BUREAU PAYS</w:t>
      </w:r>
      <w:r w:rsidRPr="00B07C4A">
        <w:rPr>
          <w:rFonts w:asciiTheme="majorBidi" w:hAnsiTheme="majorBidi" w:cstheme="majorBidi"/>
          <w:b/>
          <w:sz w:val="24"/>
          <w:szCs w:val="24"/>
        </w:rPr>
        <w:t xml:space="preserve"> </w:t>
      </w:r>
    </w:p>
    <w:p w14:paraId="12F343F0" w14:textId="0D94AEC7" w:rsidR="00FB112E" w:rsidRPr="00B07C4A" w:rsidRDefault="00FB112E" w:rsidP="004C7F5F">
      <w:pPr>
        <w:spacing w:after="0" w:line="259" w:lineRule="auto"/>
        <w:ind w:left="0" w:right="0" w:firstLine="0"/>
        <w:rPr>
          <w:rFonts w:asciiTheme="majorBidi" w:hAnsiTheme="majorBidi" w:cstheme="majorBidi"/>
          <w:b/>
          <w:sz w:val="24"/>
          <w:szCs w:val="24"/>
          <w:u w:val="single" w:color="000000"/>
        </w:rPr>
      </w:pPr>
    </w:p>
    <w:p w14:paraId="1C01BC12" w14:textId="1B4FE7CE" w:rsidR="00400763" w:rsidRDefault="00156D0A" w:rsidP="00156D0A">
      <w:pPr>
        <w:spacing w:after="0" w:line="259" w:lineRule="auto"/>
        <w:ind w:left="244" w:right="0" w:firstLine="0"/>
        <w:jc w:val="center"/>
        <w:rPr>
          <w:rFonts w:asciiTheme="majorBidi" w:hAnsiTheme="majorBidi" w:cstheme="majorBidi"/>
          <w:b/>
          <w:color w:val="0070C0"/>
          <w:sz w:val="24"/>
          <w:szCs w:val="24"/>
        </w:rPr>
      </w:pPr>
      <w:r w:rsidRPr="00B07C4A">
        <w:rPr>
          <w:rFonts w:asciiTheme="majorBidi" w:hAnsiTheme="majorBidi" w:cstheme="majorBidi"/>
          <w:b/>
          <w:color w:val="0070C0"/>
          <w:sz w:val="24"/>
          <w:szCs w:val="24"/>
        </w:rPr>
        <w:t xml:space="preserve">PROJET </w:t>
      </w:r>
      <w:r w:rsidR="00F356E0" w:rsidRPr="00B07C4A">
        <w:rPr>
          <w:rFonts w:asciiTheme="majorBidi" w:hAnsiTheme="majorBidi" w:cstheme="majorBidi"/>
          <w:b/>
          <w:color w:val="0070C0"/>
          <w:sz w:val="24"/>
          <w:szCs w:val="24"/>
        </w:rPr>
        <w:t>OSC-DDH</w:t>
      </w:r>
    </w:p>
    <w:p w14:paraId="637C9A15" w14:textId="3E300613" w:rsidR="00E104A6" w:rsidRDefault="00E104A6" w:rsidP="00156D0A">
      <w:pPr>
        <w:spacing w:after="0" w:line="259" w:lineRule="auto"/>
        <w:ind w:left="244" w:right="0" w:firstLine="0"/>
        <w:jc w:val="center"/>
        <w:rPr>
          <w:rFonts w:asciiTheme="majorBidi" w:hAnsiTheme="majorBidi" w:cstheme="majorBidi"/>
          <w:b/>
          <w:color w:val="0070C0"/>
          <w:sz w:val="24"/>
          <w:szCs w:val="24"/>
        </w:rPr>
      </w:pPr>
    </w:p>
    <w:p w14:paraId="02971B10" w14:textId="77777777" w:rsidR="00E104A6" w:rsidRPr="002A095B" w:rsidRDefault="00E104A6" w:rsidP="00E104A6">
      <w:pPr>
        <w:spacing w:after="0" w:line="259" w:lineRule="auto"/>
        <w:ind w:left="244" w:right="0" w:firstLine="0"/>
        <w:jc w:val="center"/>
        <w:rPr>
          <w:rFonts w:asciiTheme="majorBidi" w:hAnsiTheme="majorBidi" w:cstheme="majorBidi"/>
          <w:b/>
          <w:color w:val="0070C0"/>
          <w:sz w:val="22"/>
        </w:rPr>
      </w:pPr>
      <w:r w:rsidRPr="002A095B">
        <w:rPr>
          <w:rFonts w:asciiTheme="majorBidi" w:hAnsiTheme="majorBidi" w:cstheme="majorBidi"/>
          <w:b/>
          <w:color w:val="0070C0"/>
          <w:sz w:val="22"/>
        </w:rPr>
        <w:t>Appel à propositions pour l’octroi de subventions.</w:t>
      </w:r>
    </w:p>
    <w:p w14:paraId="79F5F9AB" w14:textId="77777777" w:rsidR="00E104A6" w:rsidRPr="002A095B" w:rsidRDefault="00E104A6" w:rsidP="00E104A6">
      <w:pPr>
        <w:spacing w:after="0" w:line="259" w:lineRule="auto"/>
        <w:ind w:left="244" w:right="0" w:firstLine="0"/>
        <w:jc w:val="center"/>
        <w:rPr>
          <w:rFonts w:asciiTheme="majorBidi" w:hAnsiTheme="majorBidi" w:cstheme="majorBidi"/>
          <w:b/>
          <w:color w:val="0070C0"/>
          <w:sz w:val="22"/>
        </w:rPr>
      </w:pPr>
      <w:r w:rsidRPr="002A095B">
        <w:rPr>
          <w:rFonts w:asciiTheme="majorBidi" w:hAnsiTheme="majorBidi" w:cstheme="majorBidi"/>
          <w:b/>
          <w:color w:val="0070C0"/>
          <w:sz w:val="22"/>
        </w:rPr>
        <w:t>Soutenir les capacités techniques et opérationnelles des Organisations de la société civile promouvant les droits de l’Homme</w:t>
      </w:r>
    </w:p>
    <w:p w14:paraId="6C78128D" w14:textId="77777777" w:rsidR="00E104A6" w:rsidRPr="002A095B" w:rsidRDefault="00E104A6" w:rsidP="00E104A6">
      <w:pPr>
        <w:spacing w:after="0" w:line="259" w:lineRule="auto"/>
        <w:ind w:left="244" w:right="0" w:firstLine="0"/>
        <w:jc w:val="center"/>
        <w:rPr>
          <w:rFonts w:asciiTheme="majorBidi" w:hAnsiTheme="majorBidi" w:cstheme="majorBidi"/>
          <w:b/>
          <w:color w:val="0070C0"/>
          <w:sz w:val="22"/>
        </w:rPr>
      </w:pPr>
      <w:r w:rsidRPr="002A095B">
        <w:rPr>
          <w:rFonts w:asciiTheme="majorBidi" w:hAnsiTheme="majorBidi" w:cstheme="majorBidi"/>
          <w:b/>
          <w:color w:val="0070C0"/>
          <w:sz w:val="22"/>
        </w:rPr>
        <w:t xml:space="preserve"> </w:t>
      </w:r>
    </w:p>
    <w:p w14:paraId="556C9EB0" w14:textId="77777777" w:rsidR="00E104A6" w:rsidRPr="002A095B" w:rsidRDefault="00E104A6" w:rsidP="00E104A6">
      <w:pPr>
        <w:spacing w:after="0" w:line="259" w:lineRule="auto"/>
        <w:ind w:left="244" w:right="0" w:firstLine="0"/>
        <w:rPr>
          <w:rFonts w:asciiTheme="majorBidi" w:hAnsiTheme="majorBidi" w:cstheme="majorBidi"/>
          <w:bCs/>
          <w:color w:val="auto"/>
          <w:sz w:val="22"/>
        </w:rPr>
      </w:pPr>
      <w:r w:rsidRPr="002A095B">
        <w:rPr>
          <w:rFonts w:asciiTheme="majorBidi" w:hAnsiTheme="majorBidi" w:cstheme="majorBidi"/>
          <w:bCs/>
          <w:color w:val="auto"/>
          <w:sz w:val="22"/>
        </w:rPr>
        <w:t xml:space="preserve">Le Haut-Commissariat des Nations Unies aux droits de l'homme (HCDH) est heureux d'annoncer le lancement de son appel à proposition pour l'octroi de subventions visant à renforcer les capacités techniques et opérationnelles des organisations de la société civile promouvant les droits de l’homme, en particulier des personnes les plus vulnérables.  </w:t>
      </w:r>
    </w:p>
    <w:p w14:paraId="43109C54" w14:textId="77777777" w:rsidR="00E104A6" w:rsidRPr="002A095B" w:rsidRDefault="00E104A6" w:rsidP="00E104A6">
      <w:pPr>
        <w:spacing w:after="0" w:line="259" w:lineRule="auto"/>
        <w:ind w:left="244" w:right="0" w:firstLine="0"/>
        <w:rPr>
          <w:rFonts w:asciiTheme="majorBidi" w:hAnsiTheme="majorBidi" w:cstheme="majorBidi"/>
          <w:bCs/>
          <w:color w:val="auto"/>
          <w:sz w:val="22"/>
        </w:rPr>
      </w:pPr>
      <w:r w:rsidRPr="002A095B">
        <w:rPr>
          <w:rFonts w:asciiTheme="majorBidi" w:hAnsiTheme="majorBidi" w:cstheme="majorBidi"/>
          <w:bCs/>
          <w:color w:val="auto"/>
          <w:sz w:val="22"/>
        </w:rPr>
        <w:t xml:space="preserve"> </w:t>
      </w:r>
    </w:p>
    <w:p w14:paraId="6F4A2CE9" w14:textId="77777777" w:rsidR="00E104A6" w:rsidRPr="002A095B" w:rsidRDefault="00E104A6" w:rsidP="00E104A6">
      <w:pPr>
        <w:spacing w:after="0" w:line="259" w:lineRule="auto"/>
        <w:ind w:left="244" w:right="0" w:firstLine="0"/>
        <w:rPr>
          <w:rFonts w:asciiTheme="majorBidi" w:hAnsiTheme="majorBidi" w:cstheme="majorBidi"/>
          <w:bCs/>
          <w:color w:val="auto"/>
          <w:sz w:val="22"/>
        </w:rPr>
      </w:pPr>
      <w:r w:rsidRPr="002A095B">
        <w:rPr>
          <w:rFonts w:asciiTheme="majorBidi" w:hAnsiTheme="majorBidi" w:cstheme="majorBidi"/>
          <w:bCs/>
          <w:color w:val="auto"/>
          <w:sz w:val="22"/>
        </w:rPr>
        <w:t xml:space="preserve">Dans le cadre du projet d’appui aux organisations de la société civile promouvant les droits humains et aux défenseurs des droits de l’homme financé par l’Union Européenne, ces subventions seront accordées aux organisations de la société civile (OSC) qui fournissent une assistance juridique, </w:t>
      </w:r>
      <w:proofErr w:type="gramStart"/>
      <w:r w:rsidRPr="002A095B">
        <w:rPr>
          <w:rFonts w:asciiTheme="majorBidi" w:hAnsiTheme="majorBidi" w:cstheme="majorBidi"/>
          <w:bCs/>
          <w:color w:val="auto"/>
          <w:sz w:val="22"/>
        </w:rPr>
        <w:t>judiciaire</w:t>
      </w:r>
      <w:proofErr w:type="gramEnd"/>
      <w:r w:rsidRPr="002A095B">
        <w:rPr>
          <w:rFonts w:asciiTheme="majorBidi" w:hAnsiTheme="majorBidi" w:cstheme="majorBidi"/>
          <w:bCs/>
          <w:color w:val="auto"/>
          <w:sz w:val="22"/>
        </w:rPr>
        <w:t xml:space="preserve"> et psycho-sociale aux victimes et témoins de violations graves des droits de l’Homme au Tchad. Les subventions attribuées seront chacune d’un montant de 50 000 USD pour une durée maximale de douze (12) mois.   </w:t>
      </w:r>
    </w:p>
    <w:p w14:paraId="0BA9E427" w14:textId="77777777" w:rsidR="00E104A6" w:rsidRPr="002A095B" w:rsidRDefault="00E104A6" w:rsidP="00E104A6">
      <w:pPr>
        <w:spacing w:after="0" w:line="259" w:lineRule="auto"/>
        <w:ind w:left="244" w:right="0" w:firstLine="0"/>
        <w:rPr>
          <w:rFonts w:asciiTheme="majorBidi" w:hAnsiTheme="majorBidi" w:cstheme="majorBidi"/>
          <w:bCs/>
          <w:color w:val="0070C0"/>
          <w:sz w:val="22"/>
        </w:rPr>
      </w:pPr>
      <w:r w:rsidRPr="002A095B">
        <w:rPr>
          <w:rFonts w:asciiTheme="majorBidi" w:hAnsiTheme="majorBidi" w:cstheme="majorBidi"/>
          <w:bCs/>
          <w:color w:val="0070C0"/>
          <w:sz w:val="22"/>
        </w:rPr>
        <w:t xml:space="preserve"> </w:t>
      </w:r>
    </w:p>
    <w:p w14:paraId="0FA2693D" w14:textId="77777777" w:rsidR="00E104A6" w:rsidRPr="002A095B" w:rsidRDefault="00E104A6" w:rsidP="00E104A6">
      <w:pPr>
        <w:spacing w:after="0" w:line="259" w:lineRule="auto"/>
        <w:ind w:left="244" w:right="0" w:firstLine="0"/>
        <w:rPr>
          <w:rFonts w:asciiTheme="majorBidi" w:hAnsiTheme="majorBidi" w:cstheme="majorBidi"/>
          <w:b/>
          <w:color w:val="0070C0"/>
          <w:sz w:val="22"/>
        </w:rPr>
      </w:pPr>
      <w:r w:rsidRPr="002A095B">
        <w:rPr>
          <w:rFonts w:asciiTheme="majorBidi" w:hAnsiTheme="majorBidi" w:cstheme="majorBidi"/>
          <w:b/>
          <w:color w:val="0070C0"/>
          <w:sz w:val="22"/>
        </w:rPr>
        <w:t>1.</w:t>
      </w:r>
      <w:r w:rsidRPr="002A095B">
        <w:rPr>
          <w:rFonts w:asciiTheme="majorBidi" w:hAnsiTheme="majorBidi" w:cstheme="majorBidi"/>
          <w:b/>
          <w:color w:val="0070C0"/>
          <w:sz w:val="22"/>
        </w:rPr>
        <w:tab/>
        <w:t xml:space="preserve">Contexte général </w:t>
      </w:r>
    </w:p>
    <w:p w14:paraId="65FA4AA8" w14:textId="77777777" w:rsidR="00E104A6" w:rsidRPr="002A095B" w:rsidRDefault="00E104A6" w:rsidP="00E104A6">
      <w:pPr>
        <w:spacing w:after="0" w:line="259" w:lineRule="auto"/>
        <w:ind w:left="244" w:right="0" w:firstLine="0"/>
        <w:rPr>
          <w:rFonts w:asciiTheme="majorBidi" w:hAnsiTheme="majorBidi" w:cstheme="majorBidi"/>
          <w:bCs/>
          <w:color w:val="0070C0"/>
          <w:sz w:val="22"/>
        </w:rPr>
      </w:pPr>
    </w:p>
    <w:p w14:paraId="64ABFE0F" w14:textId="6FD553BC" w:rsidR="00E104A6" w:rsidRPr="002A095B" w:rsidRDefault="00E104A6" w:rsidP="00E104A6">
      <w:pPr>
        <w:spacing w:after="0" w:line="259" w:lineRule="auto"/>
        <w:ind w:left="244" w:right="0" w:firstLine="0"/>
        <w:rPr>
          <w:rFonts w:asciiTheme="majorBidi" w:hAnsiTheme="majorBidi" w:cstheme="majorBidi"/>
          <w:bCs/>
          <w:color w:val="auto"/>
          <w:sz w:val="22"/>
        </w:rPr>
      </w:pPr>
      <w:r w:rsidRPr="002A095B">
        <w:rPr>
          <w:rFonts w:asciiTheme="majorBidi" w:hAnsiTheme="majorBidi" w:cstheme="majorBidi"/>
          <w:bCs/>
          <w:color w:val="auto"/>
          <w:sz w:val="22"/>
        </w:rPr>
        <w:t xml:space="preserve">Le Tchad est dans un processus de transition politique depuis le 20 avril 2021 après la mort du président Idriss Deby </w:t>
      </w:r>
      <w:proofErr w:type="spellStart"/>
      <w:r w:rsidRPr="002A095B">
        <w:rPr>
          <w:rFonts w:asciiTheme="majorBidi" w:hAnsiTheme="majorBidi" w:cstheme="majorBidi"/>
          <w:bCs/>
          <w:color w:val="auto"/>
          <w:sz w:val="22"/>
        </w:rPr>
        <w:t>Itno</w:t>
      </w:r>
      <w:proofErr w:type="spellEnd"/>
      <w:r w:rsidRPr="002A095B">
        <w:rPr>
          <w:rFonts w:asciiTheme="majorBidi" w:hAnsiTheme="majorBidi" w:cstheme="majorBidi"/>
          <w:bCs/>
          <w:color w:val="auto"/>
          <w:sz w:val="22"/>
        </w:rPr>
        <w:t xml:space="preserve">. Après une première transition de dix-huit (18) mois, un Accord de Paix et un Dialogue National Inclusif et Souverain (DNIS), une deuxième transition a commencé le 10 octobre 2022 pour une durée de vingt-quatre (24) mois au terme desquels des élections générales sont prévues.  </w:t>
      </w:r>
    </w:p>
    <w:p w14:paraId="353E686E" w14:textId="77777777" w:rsidR="00E104A6" w:rsidRPr="002A095B" w:rsidRDefault="00E104A6" w:rsidP="00E104A6">
      <w:pPr>
        <w:spacing w:after="0" w:line="259" w:lineRule="auto"/>
        <w:ind w:left="244" w:right="0" w:firstLine="0"/>
        <w:rPr>
          <w:rFonts w:asciiTheme="majorBidi" w:hAnsiTheme="majorBidi" w:cstheme="majorBidi"/>
          <w:bCs/>
          <w:color w:val="auto"/>
          <w:sz w:val="22"/>
        </w:rPr>
      </w:pPr>
    </w:p>
    <w:p w14:paraId="36391BC7" w14:textId="77777777" w:rsidR="00E104A6" w:rsidRPr="002A095B" w:rsidRDefault="00E104A6" w:rsidP="00E104A6">
      <w:pPr>
        <w:spacing w:after="0" w:line="259" w:lineRule="auto"/>
        <w:ind w:left="244" w:right="0" w:firstLine="0"/>
        <w:rPr>
          <w:rFonts w:asciiTheme="majorBidi" w:hAnsiTheme="majorBidi" w:cstheme="majorBidi"/>
          <w:bCs/>
          <w:color w:val="auto"/>
          <w:sz w:val="22"/>
        </w:rPr>
      </w:pPr>
      <w:r w:rsidRPr="002A095B">
        <w:rPr>
          <w:rFonts w:asciiTheme="majorBidi" w:hAnsiTheme="majorBidi" w:cstheme="majorBidi"/>
          <w:bCs/>
          <w:color w:val="auto"/>
          <w:sz w:val="22"/>
        </w:rPr>
        <w:t>Le Tchad fait face à d’énormes défis relatifs à la jouissance de l'ensemble des droits civils, culturels, économiques, sociaux et politiques. Les violations structurelles des droits de l'homme observées comprennent, entre autres, la discrimination, l’inégalité des sexes avec des cas persistants de mariages précoces, la violence domestique, les mutilations génitales féminines, le manque d'accès des filles à l'éducation dans les zones rurales, la pauvreté, la corruption, l'accès limité aux services sociaux de base et le déni du droit à la liberté d’expression et d’opinion, de réunion pacifique et d’association. Les préoccupations en matière de protection sont élevées et de nature multiple (intimidation, menaces, disparitions forcées, mauvais traitements, violences sexuelles et sexistes, arrestations et détentions arbitraires), dans un contexte où la faiblesse des systèmes judiciaire et pénitentiaire, ajoutée à la corruption, conduit à l'impunité et à l'absence de redevabilité.</w:t>
      </w:r>
    </w:p>
    <w:p w14:paraId="47EB76A3" w14:textId="77777777" w:rsidR="00E104A6" w:rsidRPr="002A095B" w:rsidRDefault="00E104A6" w:rsidP="00E104A6">
      <w:pPr>
        <w:spacing w:after="0" w:line="259" w:lineRule="auto"/>
        <w:ind w:left="244" w:right="0" w:firstLine="0"/>
        <w:rPr>
          <w:rFonts w:asciiTheme="majorBidi" w:hAnsiTheme="majorBidi" w:cstheme="majorBidi"/>
          <w:bCs/>
          <w:color w:val="auto"/>
          <w:sz w:val="22"/>
        </w:rPr>
      </w:pPr>
    </w:p>
    <w:p w14:paraId="2F3320C9" w14:textId="4E0EF682" w:rsidR="00E104A6" w:rsidRPr="002A095B" w:rsidRDefault="00E104A6" w:rsidP="00E104A6">
      <w:pPr>
        <w:spacing w:after="0" w:line="259" w:lineRule="auto"/>
        <w:ind w:left="244" w:right="0" w:firstLine="0"/>
        <w:rPr>
          <w:rFonts w:asciiTheme="majorBidi" w:hAnsiTheme="majorBidi" w:cstheme="majorBidi"/>
          <w:bCs/>
          <w:color w:val="auto"/>
          <w:sz w:val="22"/>
        </w:rPr>
      </w:pPr>
      <w:r w:rsidRPr="002A095B">
        <w:rPr>
          <w:rFonts w:asciiTheme="majorBidi" w:hAnsiTheme="majorBidi" w:cstheme="majorBidi"/>
          <w:bCs/>
          <w:color w:val="auto"/>
          <w:sz w:val="22"/>
        </w:rPr>
        <w:t xml:space="preserve">Dans ce contexte, les organisations de la  société civile, en particulier celles promouvant les droits de l’homme et les défenseurs des droits de l’homme ont un rôle important de veille, d’alerte précoce, de monitoring et de </w:t>
      </w:r>
      <w:proofErr w:type="spellStart"/>
      <w:r w:rsidRPr="002A095B">
        <w:rPr>
          <w:rFonts w:asciiTheme="majorBidi" w:hAnsiTheme="majorBidi" w:cstheme="majorBidi"/>
          <w:bCs/>
          <w:color w:val="auto"/>
          <w:sz w:val="22"/>
        </w:rPr>
        <w:t>reporting</w:t>
      </w:r>
      <w:proofErr w:type="spellEnd"/>
      <w:r w:rsidRPr="002A095B">
        <w:rPr>
          <w:rFonts w:asciiTheme="majorBidi" w:hAnsiTheme="majorBidi" w:cstheme="majorBidi"/>
          <w:bCs/>
          <w:color w:val="auto"/>
          <w:sz w:val="22"/>
        </w:rPr>
        <w:t xml:space="preserve"> mais également de suivi et de plaidoyer à jouer en vue d’une meilleure protection des plus vulnérables tels que les femmes, les enfants, les personnes handicapées, ainsi que les défenseurs des droits de l’homme eux-mêmes, les victimes et témoins de violations des droits de l’homme. Les victimes de violations des droits de l’homme y compris dans les rangs des organisations de la société civile doivent pouvoir compter sur une société civile plus forte et opérationnelle, </w:t>
      </w:r>
      <w:r w:rsidRPr="002A095B">
        <w:rPr>
          <w:rFonts w:asciiTheme="majorBidi" w:hAnsiTheme="majorBidi" w:cstheme="majorBidi"/>
          <w:bCs/>
          <w:color w:val="auto"/>
          <w:sz w:val="22"/>
        </w:rPr>
        <w:lastRenderedPageBreak/>
        <w:t xml:space="preserve">suffisamment organisée pour agir en synergie et disposant de ressources humaines qualifiées, d’équipements nécessaires et de moyens financiers suffisants pour remplir son mandat. </w:t>
      </w:r>
    </w:p>
    <w:p w14:paraId="2F13AD26" w14:textId="77777777" w:rsidR="00E104A6" w:rsidRPr="002A095B" w:rsidRDefault="00E104A6" w:rsidP="00E104A6">
      <w:pPr>
        <w:spacing w:after="0" w:line="259" w:lineRule="auto"/>
        <w:ind w:left="244" w:right="0" w:firstLine="0"/>
        <w:rPr>
          <w:rFonts w:asciiTheme="majorBidi" w:hAnsiTheme="majorBidi" w:cstheme="majorBidi"/>
          <w:bCs/>
          <w:color w:val="auto"/>
          <w:sz w:val="22"/>
        </w:rPr>
      </w:pPr>
    </w:p>
    <w:p w14:paraId="577D8321" w14:textId="77777777" w:rsidR="00E104A6" w:rsidRPr="002A095B" w:rsidRDefault="00E104A6" w:rsidP="00E104A6">
      <w:pPr>
        <w:spacing w:after="0" w:line="259" w:lineRule="auto"/>
        <w:ind w:left="244" w:right="0" w:firstLine="0"/>
        <w:rPr>
          <w:rFonts w:asciiTheme="majorBidi" w:hAnsiTheme="majorBidi" w:cstheme="majorBidi"/>
          <w:bCs/>
          <w:color w:val="auto"/>
          <w:sz w:val="22"/>
        </w:rPr>
      </w:pPr>
      <w:r w:rsidRPr="002A095B">
        <w:rPr>
          <w:rFonts w:asciiTheme="majorBidi" w:hAnsiTheme="majorBidi" w:cstheme="majorBidi"/>
          <w:bCs/>
          <w:color w:val="auto"/>
          <w:sz w:val="22"/>
        </w:rPr>
        <w:t>La situation telle qu’observée actuellement est loin d’être encourageante. En effet, outre l’absence de stratégie bien ficelée de protection de leurs pairs en cas de menaces, d’intimidation, ou encore d’arrestations et détentions arbitraires tels que mentionnés plus haut, il n’existe à ce jour une loi qui protège les défenseurs des droits de l’homme au Tchad. Au cours de l’année 2022, le Bureau pays du Haut-Commissariat aux Droits de l’Homme au Tchad s’est efforcé d’appuyer le Gouvernement dans l’élaboration d’un avant-projet de loi sur la protection des défenseurs des droits de l’homme dont l’adoption est espérée dans les prochains mois.</w:t>
      </w:r>
    </w:p>
    <w:p w14:paraId="051C671A" w14:textId="77777777" w:rsidR="00E104A6" w:rsidRPr="002A095B" w:rsidRDefault="00E104A6" w:rsidP="00E104A6">
      <w:pPr>
        <w:spacing w:after="0" w:line="259" w:lineRule="auto"/>
        <w:ind w:left="244" w:right="0" w:firstLine="0"/>
        <w:rPr>
          <w:rFonts w:asciiTheme="majorBidi" w:hAnsiTheme="majorBidi" w:cstheme="majorBidi"/>
          <w:bCs/>
          <w:color w:val="0070C0"/>
          <w:sz w:val="22"/>
        </w:rPr>
      </w:pPr>
    </w:p>
    <w:p w14:paraId="2DAC0951" w14:textId="77777777" w:rsidR="00E104A6" w:rsidRPr="002A095B" w:rsidRDefault="00E104A6" w:rsidP="00E104A6">
      <w:pPr>
        <w:spacing w:after="0" w:line="259" w:lineRule="auto"/>
        <w:ind w:left="244" w:right="0" w:firstLine="0"/>
        <w:rPr>
          <w:rFonts w:asciiTheme="majorBidi" w:hAnsiTheme="majorBidi" w:cstheme="majorBidi"/>
          <w:b/>
          <w:color w:val="0070C0"/>
          <w:sz w:val="22"/>
        </w:rPr>
      </w:pPr>
      <w:r w:rsidRPr="002A095B">
        <w:rPr>
          <w:rFonts w:asciiTheme="majorBidi" w:hAnsiTheme="majorBidi" w:cstheme="majorBidi"/>
          <w:b/>
          <w:color w:val="0070C0"/>
          <w:sz w:val="22"/>
        </w:rPr>
        <w:t>2.</w:t>
      </w:r>
      <w:r w:rsidRPr="002A095B">
        <w:rPr>
          <w:rFonts w:asciiTheme="majorBidi" w:hAnsiTheme="majorBidi" w:cstheme="majorBidi"/>
          <w:b/>
          <w:color w:val="0070C0"/>
          <w:sz w:val="22"/>
        </w:rPr>
        <w:tab/>
        <w:t xml:space="preserve">Objectifs </w:t>
      </w:r>
    </w:p>
    <w:p w14:paraId="3E7404DC" w14:textId="77777777" w:rsidR="00E104A6" w:rsidRPr="002A095B" w:rsidRDefault="00E104A6" w:rsidP="00E104A6">
      <w:pPr>
        <w:spacing w:after="0" w:line="259" w:lineRule="auto"/>
        <w:ind w:left="244" w:right="0" w:firstLine="0"/>
        <w:rPr>
          <w:rFonts w:asciiTheme="majorBidi" w:hAnsiTheme="majorBidi" w:cstheme="majorBidi"/>
          <w:bCs/>
          <w:color w:val="0070C0"/>
          <w:sz w:val="22"/>
        </w:rPr>
      </w:pPr>
    </w:p>
    <w:p w14:paraId="3BEE3D18" w14:textId="20E64F11" w:rsidR="00E104A6" w:rsidRPr="002A095B" w:rsidRDefault="00E104A6" w:rsidP="00E104A6">
      <w:pPr>
        <w:spacing w:after="0" w:line="259" w:lineRule="auto"/>
        <w:ind w:left="244" w:right="0" w:firstLine="0"/>
        <w:rPr>
          <w:rFonts w:asciiTheme="majorBidi" w:hAnsiTheme="majorBidi" w:cstheme="majorBidi"/>
          <w:bCs/>
          <w:color w:val="auto"/>
          <w:sz w:val="22"/>
        </w:rPr>
      </w:pPr>
      <w:r w:rsidRPr="002A095B">
        <w:rPr>
          <w:rFonts w:asciiTheme="majorBidi" w:hAnsiTheme="majorBidi" w:cstheme="majorBidi"/>
          <w:bCs/>
          <w:color w:val="auto"/>
          <w:sz w:val="22"/>
        </w:rPr>
        <w:t>Le Projet OSC-DDH a pour objectif global d’accroître la protection de la population, en particulier des femmes, des enfants et des jeunes, contre le risque de violations graves des droits de l'homme au Tchad. De manière spécifique, le projet va permettre d’une part aux organisations de la société civile de renforcer leurs capacités techniques, fonctionnelles et opérationnelles pour améliorer la surveillance, les enquêtes et la publication des rapports crédibles sur les violations graves des droits de l'homme mais également au HCDH d’améliorer son système de protection individuelle et judiciaire à travers l’élaboration et la mise en œuvre d’un programme de protection des défenseurs des droits de l’homme, des victimes et témoins de violations des droits de l’homme.</w:t>
      </w:r>
    </w:p>
    <w:p w14:paraId="3DAAA54D" w14:textId="77777777" w:rsidR="00E104A6" w:rsidRPr="002A095B" w:rsidRDefault="00E104A6" w:rsidP="00E104A6">
      <w:pPr>
        <w:spacing w:after="0" w:line="259" w:lineRule="auto"/>
        <w:ind w:left="244" w:right="0" w:firstLine="0"/>
        <w:rPr>
          <w:rFonts w:asciiTheme="majorBidi" w:hAnsiTheme="majorBidi" w:cstheme="majorBidi"/>
          <w:bCs/>
          <w:color w:val="auto"/>
          <w:sz w:val="22"/>
        </w:rPr>
      </w:pPr>
    </w:p>
    <w:p w14:paraId="56943DCF" w14:textId="77777777" w:rsidR="00E104A6" w:rsidRPr="002A095B" w:rsidRDefault="00E104A6" w:rsidP="00E104A6">
      <w:pPr>
        <w:spacing w:after="0" w:line="259" w:lineRule="auto"/>
        <w:ind w:left="244" w:right="0" w:firstLine="0"/>
        <w:rPr>
          <w:rFonts w:asciiTheme="majorBidi" w:hAnsiTheme="majorBidi" w:cstheme="majorBidi"/>
          <w:bCs/>
          <w:color w:val="auto"/>
          <w:sz w:val="22"/>
        </w:rPr>
      </w:pPr>
      <w:r w:rsidRPr="002A095B">
        <w:rPr>
          <w:rFonts w:asciiTheme="majorBidi" w:hAnsiTheme="majorBidi" w:cstheme="majorBidi"/>
          <w:bCs/>
          <w:color w:val="auto"/>
          <w:sz w:val="22"/>
        </w:rPr>
        <w:t xml:space="preserve">Quant à l’offre de subventions objet de l’appel à proposition, elle a pour but de soutenir les organisations de la société civile qui interviennent dans la promotion et la protection des droits de l'Homme en améliorant leurs conditions de travail à travers le renforcement de leurs capacités techniques et opérationnelles pour leur permettre de remplir convenablement et de façon professionnelle leur mandat. Ainsi, à travers les subventions octroyées, les organisations de la société civiles et les organisations de défense des droits de l’Homme bénéficiaires contribueront à l’atteinte des objectifs ci-dessus mentionnés. </w:t>
      </w:r>
    </w:p>
    <w:p w14:paraId="101408F1" w14:textId="77777777" w:rsidR="00E104A6" w:rsidRPr="002A095B" w:rsidRDefault="00E104A6" w:rsidP="00E104A6">
      <w:pPr>
        <w:spacing w:after="0" w:line="259" w:lineRule="auto"/>
        <w:ind w:left="244" w:right="0" w:firstLine="0"/>
        <w:rPr>
          <w:rFonts w:asciiTheme="majorBidi" w:hAnsiTheme="majorBidi" w:cstheme="majorBidi"/>
          <w:bCs/>
          <w:color w:val="auto"/>
          <w:sz w:val="22"/>
        </w:rPr>
      </w:pPr>
    </w:p>
    <w:p w14:paraId="6BA7B7C0" w14:textId="77777777" w:rsidR="00E104A6" w:rsidRPr="002A095B" w:rsidRDefault="00E104A6" w:rsidP="00E104A6">
      <w:pPr>
        <w:spacing w:after="0" w:line="259" w:lineRule="auto"/>
        <w:ind w:left="244" w:right="0" w:firstLine="0"/>
        <w:rPr>
          <w:rFonts w:asciiTheme="majorBidi" w:hAnsiTheme="majorBidi" w:cstheme="majorBidi"/>
          <w:bCs/>
          <w:color w:val="auto"/>
          <w:sz w:val="22"/>
        </w:rPr>
      </w:pPr>
      <w:r w:rsidRPr="002A095B">
        <w:rPr>
          <w:rFonts w:asciiTheme="majorBidi" w:hAnsiTheme="majorBidi" w:cstheme="majorBidi"/>
          <w:bCs/>
          <w:color w:val="auto"/>
          <w:sz w:val="22"/>
        </w:rPr>
        <w:t xml:space="preserve">En particulier, il s’agit de les accompagner dans leurs actions tendant à protéger davantage les droits des personnes ou groupes les plus vulnérables. Grâce aux subventions, les organisations bénéficiaires disposeront de plus de capacité à faire la collecte de données sur la situation des droits de l’homme en général et de ceux des plus vulnérables en particulier, d’accompagner au mieux les victimes et témoins de violations des droits de l’Homme mais également les défenseurs des droits de l’homme, en termes d’assistance matérielle, juridique et judiciaire mais aussi de prise en charge psycho-sociale. Ainsi, les bénéficiaires renforceront leur crédibilité et contribueront à accroitre la redevabilité à travers des activités d’enquêtes indépendantes, de monitoring, de </w:t>
      </w:r>
      <w:proofErr w:type="spellStart"/>
      <w:r w:rsidRPr="002A095B">
        <w:rPr>
          <w:rFonts w:asciiTheme="majorBidi" w:hAnsiTheme="majorBidi" w:cstheme="majorBidi"/>
          <w:bCs/>
          <w:color w:val="auto"/>
          <w:sz w:val="22"/>
        </w:rPr>
        <w:t>reporting</w:t>
      </w:r>
      <w:proofErr w:type="spellEnd"/>
      <w:r w:rsidRPr="002A095B">
        <w:rPr>
          <w:rFonts w:asciiTheme="majorBidi" w:hAnsiTheme="majorBidi" w:cstheme="majorBidi"/>
          <w:bCs/>
          <w:color w:val="auto"/>
          <w:sz w:val="22"/>
        </w:rPr>
        <w:t xml:space="preserve"> et de plaidoyer.</w:t>
      </w:r>
    </w:p>
    <w:p w14:paraId="1C41356A" w14:textId="77777777" w:rsidR="00E104A6" w:rsidRPr="002A095B" w:rsidRDefault="00E104A6" w:rsidP="00E104A6">
      <w:pPr>
        <w:spacing w:after="0" w:line="259" w:lineRule="auto"/>
        <w:ind w:left="244" w:right="0" w:firstLine="0"/>
        <w:rPr>
          <w:rFonts w:asciiTheme="majorBidi" w:hAnsiTheme="majorBidi" w:cstheme="majorBidi"/>
          <w:bCs/>
          <w:color w:val="auto"/>
          <w:sz w:val="22"/>
        </w:rPr>
      </w:pPr>
    </w:p>
    <w:p w14:paraId="0CAAF64F" w14:textId="77777777" w:rsidR="00E104A6" w:rsidRPr="002A095B" w:rsidRDefault="00E104A6" w:rsidP="00E104A6">
      <w:pPr>
        <w:spacing w:after="0" w:line="259" w:lineRule="auto"/>
        <w:ind w:left="244" w:right="0" w:firstLine="0"/>
        <w:rPr>
          <w:rFonts w:asciiTheme="majorBidi" w:hAnsiTheme="majorBidi" w:cstheme="majorBidi"/>
          <w:bCs/>
          <w:color w:val="auto"/>
          <w:sz w:val="22"/>
        </w:rPr>
      </w:pPr>
      <w:r w:rsidRPr="002A095B">
        <w:rPr>
          <w:rFonts w:asciiTheme="majorBidi" w:hAnsiTheme="majorBidi" w:cstheme="majorBidi"/>
          <w:bCs/>
          <w:color w:val="auto"/>
          <w:sz w:val="22"/>
        </w:rPr>
        <w:t xml:space="preserve">Les organisations bénéficiaires de subventions sont encouragées à expliquer comment leurs services/programmes et actions sont adaptés pour répondre aux besoins spécifiques de leurs cibles. </w:t>
      </w:r>
    </w:p>
    <w:p w14:paraId="15B7DD2A" w14:textId="77777777" w:rsidR="00E104A6" w:rsidRPr="002A095B" w:rsidRDefault="00E104A6" w:rsidP="00E104A6">
      <w:pPr>
        <w:spacing w:after="0" w:line="259" w:lineRule="auto"/>
        <w:ind w:left="244" w:right="0" w:firstLine="0"/>
        <w:rPr>
          <w:rFonts w:asciiTheme="majorBidi" w:hAnsiTheme="majorBidi" w:cstheme="majorBidi"/>
          <w:b/>
          <w:color w:val="0070C0"/>
          <w:sz w:val="22"/>
        </w:rPr>
      </w:pPr>
    </w:p>
    <w:p w14:paraId="49AC4B08" w14:textId="77777777" w:rsidR="00E104A6" w:rsidRPr="002A095B" w:rsidRDefault="00E104A6" w:rsidP="00E104A6">
      <w:pPr>
        <w:spacing w:after="0" w:line="259" w:lineRule="auto"/>
        <w:ind w:left="244" w:right="0" w:firstLine="0"/>
        <w:rPr>
          <w:rFonts w:asciiTheme="majorBidi" w:hAnsiTheme="majorBidi" w:cstheme="majorBidi"/>
          <w:b/>
          <w:color w:val="0070C0"/>
          <w:sz w:val="22"/>
        </w:rPr>
      </w:pPr>
      <w:r w:rsidRPr="002A095B">
        <w:rPr>
          <w:rFonts w:asciiTheme="majorBidi" w:hAnsiTheme="majorBidi" w:cstheme="majorBidi"/>
          <w:b/>
          <w:color w:val="0070C0"/>
          <w:sz w:val="22"/>
        </w:rPr>
        <w:t>3.</w:t>
      </w:r>
      <w:r w:rsidRPr="002A095B">
        <w:rPr>
          <w:rFonts w:asciiTheme="majorBidi" w:hAnsiTheme="majorBidi" w:cstheme="majorBidi"/>
          <w:b/>
          <w:color w:val="0070C0"/>
          <w:sz w:val="22"/>
        </w:rPr>
        <w:tab/>
        <w:t xml:space="preserve">Mise en œuvre du projet </w:t>
      </w:r>
    </w:p>
    <w:p w14:paraId="7372E06C" w14:textId="77777777" w:rsidR="00E104A6" w:rsidRPr="002A095B" w:rsidRDefault="00E104A6" w:rsidP="00E104A6">
      <w:pPr>
        <w:spacing w:after="0" w:line="259" w:lineRule="auto"/>
        <w:ind w:left="244" w:right="0" w:firstLine="0"/>
        <w:rPr>
          <w:rFonts w:asciiTheme="majorBidi" w:hAnsiTheme="majorBidi" w:cstheme="majorBidi"/>
          <w:bCs/>
          <w:color w:val="0070C0"/>
          <w:sz w:val="22"/>
        </w:rPr>
      </w:pPr>
    </w:p>
    <w:p w14:paraId="71C74347" w14:textId="03EB42EB" w:rsidR="00E104A6" w:rsidRPr="002A095B" w:rsidRDefault="00E104A6" w:rsidP="00E104A6">
      <w:pPr>
        <w:spacing w:after="0" w:line="259" w:lineRule="auto"/>
        <w:ind w:left="244" w:right="0" w:firstLine="0"/>
        <w:rPr>
          <w:rFonts w:asciiTheme="majorBidi" w:hAnsiTheme="majorBidi" w:cstheme="majorBidi"/>
          <w:bCs/>
          <w:color w:val="auto"/>
          <w:sz w:val="22"/>
        </w:rPr>
      </w:pPr>
      <w:r w:rsidRPr="002A095B">
        <w:rPr>
          <w:rFonts w:asciiTheme="majorBidi" w:hAnsiTheme="majorBidi" w:cstheme="majorBidi"/>
          <w:bCs/>
          <w:color w:val="auto"/>
          <w:sz w:val="22"/>
        </w:rPr>
        <w:t xml:space="preserve">Cette subvention envisage des actions et activités spécifiques rapidement réalisables. Les organisations devront avoir la capacité à mettre en œuvre le projet dans un délai maximum de douze (12) mois à compter de la date de l'attribution de la subvention.  </w:t>
      </w:r>
    </w:p>
    <w:p w14:paraId="046CDEAD" w14:textId="77777777" w:rsidR="00E104A6" w:rsidRPr="002A095B" w:rsidRDefault="00E104A6" w:rsidP="00E104A6">
      <w:pPr>
        <w:spacing w:after="0" w:line="259" w:lineRule="auto"/>
        <w:ind w:left="244" w:right="0" w:firstLine="0"/>
        <w:rPr>
          <w:rFonts w:asciiTheme="majorBidi" w:hAnsiTheme="majorBidi" w:cstheme="majorBidi"/>
          <w:bCs/>
          <w:color w:val="auto"/>
          <w:sz w:val="22"/>
        </w:rPr>
      </w:pPr>
      <w:r w:rsidRPr="002A095B">
        <w:rPr>
          <w:rFonts w:asciiTheme="majorBidi" w:hAnsiTheme="majorBidi" w:cstheme="majorBidi"/>
          <w:bCs/>
          <w:color w:val="auto"/>
          <w:sz w:val="22"/>
        </w:rPr>
        <w:t xml:space="preserve"> </w:t>
      </w:r>
    </w:p>
    <w:p w14:paraId="76AED4D8" w14:textId="77777777" w:rsidR="00EA1996" w:rsidRDefault="00EA1996" w:rsidP="00E104A6">
      <w:pPr>
        <w:spacing w:after="0" w:line="259" w:lineRule="auto"/>
        <w:ind w:left="244" w:right="0" w:firstLine="0"/>
        <w:rPr>
          <w:rFonts w:asciiTheme="majorBidi" w:hAnsiTheme="majorBidi" w:cstheme="majorBidi"/>
          <w:bCs/>
          <w:color w:val="auto"/>
          <w:sz w:val="22"/>
        </w:rPr>
      </w:pPr>
    </w:p>
    <w:p w14:paraId="2272A846" w14:textId="77777777" w:rsidR="00EA1996" w:rsidRDefault="00EA1996" w:rsidP="00E104A6">
      <w:pPr>
        <w:spacing w:after="0" w:line="259" w:lineRule="auto"/>
        <w:ind w:left="244" w:right="0" w:firstLine="0"/>
        <w:rPr>
          <w:rFonts w:asciiTheme="majorBidi" w:hAnsiTheme="majorBidi" w:cstheme="majorBidi"/>
          <w:bCs/>
          <w:color w:val="auto"/>
          <w:sz w:val="22"/>
        </w:rPr>
      </w:pPr>
    </w:p>
    <w:p w14:paraId="6FD7F649" w14:textId="77777777" w:rsidR="00EA1996" w:rsidRDefault="00EA1996" w:rsidP="00E104A6">
      <w:pPr>
        <w:spacing w:after="0" w:line="259" w:lineRule="auto"/>
        <w:ind w:left="244" w:right="0" w:firstLine="0"/>
        <w:rPr>
          <w:rFonts w:asciiTheme="majorBidi" w:hAnsiTheme="majorBidi" w:cstheme="majorBidi"/>
          <w:bCs/>
          <w:color w:val="auto"/>
          <w:sz w:val="22"/>
        </w:rPr>
      </w:pPr>
    </w:p>
    <w:p w14:paraId="5FA74B44" w14:textId="23AE469F" w:rsidR="00E104A6" w:rsidRPr="002A095B" w:rsidRDefault="00E104A6" w:rsidP="00E104A6">
      <w:pPr>
        <w:spacing w:after="0" w:line="259" w:lineRule="auto"/>
        <w:ind w:left="244" w:right="0" w:firstLine="0"/>
        <w:rPr>
          <w:rFonts w:asciiTheme="majorBidi" w:hAnsiTheme="majorBidi" w:cstheme="majorBidi"/>
          <w:bCs/>
          <w:color w:val="auto"/>
          <w:sz w:val="22"/>
        </w:rPr>
      </w:pPr>
      <w:r w:rsidRPr="002A095B">
        <w:rPr>
          <w:rFonts w:asciiTheme="majorBidi" w:hAnsiTheme="majorBidi" w:cstheme="majorBidi"/>
          <w:bCs/>
          <w:color w:val="auto"/>
          <w:sz w:val="22"/>
        </w:rPr>
        <w:t xml:space="preserve">Lorsqu'une décision d'octroi de subvention est prise, une convention de subvention est conclue avec le responsable de l’organisation. Cette personne sera le point de contact pour le HCDH pendant la durée du projet. </w:t>
      </w:r>
    </w:p>
    <w:p w14:paraId="5EAB08C7" w14:textId="77777777" w:rsidR="00E104A6" w:rsidRPr="002A095B" w:rsidRDefault="00E104A6" w:rsidP="00E104A6">
      <w:pPr>
        <w:spacing w:after="0" w:line="259" w:lineRule="auto"/>
        <w:ind w:left="244" w:right="0" w:firstLine="0"/>
        <w:rPr>
          <w:rFonts w:asciiTheme="majorBidi" w:hAnsiTheme="majorBidi" w:cstheme="majorBidi"/>
          <w:bCs/>
          <w:color w:val="auto"/>
          <w:sz w:val="22"/>
        </w:rPr>
      </w:pPr>
    </w:p>
    <w:p w14:paraId="2FFF674A" w14:textId="77777777" w:rsidR="00E104A6" w:rsidRPr="00EA1996" w:rsidRDefault="00E104A6" w:rsidP="00E104A6">
      <w:pPr>
        <w:spacing w:after="0" w:line="259" w:lineRule="auto"/>
        <w:ind w:left="244" w:right="0" w:firstLine="0"/>
        <w:rPr>
          <w:rFonts w:asciiTheme="majorBidi" w:hAnsiTheme="majorBidi" w:cstheme="majorBidi"/>
          <w:b/>
          <w:color w:val="0070C0"/>
          <w:sz w:val="22"/>
        </w:rPr>
      </w:pPr>
      <w:r w:rsidRPr="00EA1996">
        <w:rPr>
          <w:rFonts w:asciiTheme="majorBidi" w:hAnsiTheme="majorBidi" w:cstheme="majorBidi"/>
          <w:b/>
          <w:color w:val="0070C0"/>
          <w:sz w:val="22"/>
        </w:rPr>
        <w:t>4.</w:t>
      </w:r>
      <w:r w:rsidRPr="00EA1996">
        <w:rPr>
          <w:rFonts w:asciiTheme="majorBidi" w:hAnsiTheme="majorBidi" w:cstheme="majorBidi"/>
          <w:b/>
          <w:color w:val="0070C0"/>
          <w:sz w:val="22"/>
        </w:rPr>
        <w:tab/>
        <w:t xml:space="preserve">Financement      </w:t>
      </w:r>
    </w:p>
    <w:p w14:paraId="620939FA" w14:textId="77777777" w:rsidR="00E104A6" w:rsidRPr="002A095B" w:rsidRDefault="00E104A6" w:rsidP="00E104A6">
      <w:pPr>
        <w:spacing w:after="0" w:line="259" w:lineRule="auto"/>
        <w:ind w:left="244" w:right="0" w:firstLine="0"/>
        <w:rPr>
          <w:rFonts w:asciiTheme="majorBidi" w:hAnsiTheme="majorBidi" w:cstheme="majorBidi"/>
          <w:bCs/>
          <w:color w:val="0070C0"/>
          <w:sz w:val="22"/>
        </w:rPr>
      </w:pPr>
    </w:p>
    <w:p w14:paraId="45913FB1" w14:textId="77777777" w:rsidR="00E104A6" w:rsidRPr="002A095B" w:rsidRDefault="00E104A6" w:rsidP="00E104A6">
      <w:pPr>
        <w:spacing w:after="0" w:line="259" w:lineRule="auto"/>
        <w:ind w:left="244" w:right="0" w:firstLine="0"/>
        <w:rPr>
          <w:rFonts w:asciiTheme="majorBidi" w:hAnsiTheme="majorBidi" w:cstheme="majorBidi"/>
          <w:bCs/>
          <w:color w:val="auto"/>
          <w:sz w:val="22"/>
        </w:rPr>
      </w:pPr>
      <w:r w:rsidRPr="002A095B">
        <w:rPr>
          <w:rFonts w:asciiTheme="majorBidi" w:hAnsiTheme="majorBidi" w:cstheme="majorBidi"/>
          <w:bCs/>
          <w:color w:val="auto"/>
          <w:sz w:val="22"/>
        </w:rPr>
        <w:t xml:space="preserve">Les subventions attribuées seront chacune d’un montant de 50 000 USD pour une durée maximale de </w:t>
      </w:r>
      <w:r w:rsidRPr="003A4A3D">
        <w:rPr>
          <w:rFonts w:asciiTheme="majorBidi" w:hAnsiTheme="majorBidi" w:cstheme="majorBidi"/>
          <w:bCs/>
          <w:color w:val="auto"/>
          <w:sz w:val="22"/>
        </w:rPr>
        <w:t>douze (12) mois</w:t>
      </w:r>
      <w:r w:rsidRPr="002A095B">
        <w:rPr>
          <w:rFonts w:asciiTheme="majorBidi" w:hAnsiTheme="majorBidi" w:cstheme="majorBidi"/>
          <w:bCs/>
          <w:color w:val="auto"/>
          <w:sz w:val="22"/>
        </w:rPr>
        <w:t>.  La subvention peut être affectée aux dépenses suivantes :</w:t>
      </w:r>
    </w:p>
    <w:p w14:paraId="742A57D3" w14:textId="170212A0" w:rsidR="00E104A6" w:rsidRPr="002A095B" w:rsidRDefault="00E104A6" w:rsidP="00E104A6">
      <w:pPr>
        <w:spacing w:after="0" w:line="259" w:lineRule="auto"/>
        <w:ind w:left="244" w:right="0" w:firstLine="0"/>
        <w:rPr>
          <w:rFonts w:asciiTheme="majorBidi" w:hAnsiTheme="majorBidi" w:cstheme="majorBidi"/>
          <w:bCs/>
          <w:color w:val="auto"/>
          <w:sz w:val="22"/>
        </w:rPr>
      </w:pPr>
      <w:r w:rsidRPr="002A095B">
        <w:rPr>
          <w:rFonts w:asciiTheme="majorBidi" w:hAnsiTheme="majorBidi" w:cstheme="majorBidi"/>
          <w:bCs/>
          <w:color w:val="auto"/>
          <w:sz w:val="22"/>
        </w:rPr>
        <w:t xml:space="preserve"> </w:t>
      </w:r>
    </w:p>
    <w:p w14:paraId="1778209B" w14:textId="0AC22E88" w:rsidR="00E104A6" w:rsidRPr="002A095B" w:rsidRDefault="00E104A6" w:rsidP="00E104A6">
      <w:pPr>
        <w:pStyle w:val="Paragraphedeliste"/>
        <w:numPr>
          <w:ilvl w:val="0"/>
          <w:numId w:val="27"/>
        </w:numPr>
        <w:spacing w:after="0" w:line="259" w:lineRule="auto"/>
        <w:ind w:right="0"/>
        <w:rPr>
          <w:rFonts w:asciiTheme="majorBidi" w:hAnsiTheme="majorBidi" w:cstheme="majorBidi"/>
          <w:bCs/>
          <w:color w:val="auto"/>
          <w:sz w:val="22"/>
        </w:rPr>
      </w:pPr>
      <w:r w:rsidRPr="002A095B">
        <w:rPr>
          <w:rFonts w:asciiTheme="majorBidi" w:hAnsiTheme="majorBidi" w:cstheme="majorBidi"/>
          <w:bCs/>
          <w:color w:val="auto"/>
          <w:sz w:val="22"/>
        </w:rPr>
        <w:t>Frais liés à l'achat de matériels et d’équipement ;</w:t>
      </w:r>
    </w:p>
    <w:p w14:paraId="7687A3F6" w14:textId="58A5C716" w:rsidR="00E104A6" w:rsidRPr="002A095B" w:rsidRDefault="00E104A6" w:rsidP="00E104A6">
      <w:pPr>
        <w:pStyle w:val="Paragraphedeliste"/>
        <w:numPr>
          <w:ilvl w:val="0"/>
          <w:numId w:val="27"/>
        </w:numPr>
        <w:spacing w:after="0" w:line="259" w:lineRule="auto"/>
        <w:ind w:right="0"/>
        <w:rPr>
          <w:rFonts w:asciiTheme="majorBidi" w:hAnsiTheme="majorBidi" w:cstheme="majorBidi"/>
          <w:bCs/>
          <w:color w:val="auto"/>
          <w:sz w:val="22"/>
        </w:rPr>
      </w:pPr>
      <w:r w:rsidRPr="002A095B">
        <w:rPr>
          <w:rFonts w:asciiTheme="majorBidi" w:hAnsiTheme="majorBidi" w:cstheme="majorBidi"/>
          <w:bCs/>
          <w:color w:val="auto"/>
          <w:sz w:val="22"/>
        </w:rPr>
        <w:t xml:space="preserve">Frais liés à l'organisation de réunions et de ; </w:t>
      </w:r>
    </w:p>
    <w:p w14:paraId="6AD37E17" w14:textId="0EA2EB36" w:rsidR="00E104A6" w:rsidRPr="002A095B" w:rsidRDefault="00E104A6" w:rsidP="00E104A6">
      <w:pPr>
        <w:pStyle w:val="Paragraphedeliste"/>
        <w:numPr>
          <w:ilvl w:val="0"/>
          <w:numId w:val="27"/>
        </w:numPr>
        <w:spacing w:after="0" w:line="259" w:lineRule="auto"/>
        <w:ind w:right="0"/>
        <w:rPr>
          <w:rFonts w:asciiTheme="majorBidi" w:hAnsiTheme="majorBidi" w:cstheme="majorBidi"/>
          <w:bCs/>
          <w:color w:val="auto"/>
          <w:sz w:val="22"/>
        </w:rPr>
      </w:pPr>
      <w:r w:rsidRPr="002A095B">
        <w:rPr>
          <w:rFonts w:asciiTheme="majorBidi" w:hAnsiTheme="majorBidi" w:cstheme="majorBidi"/>
          <w:bCs/>
          <w:color w:val="auto"/>
          <w:sz w:val="22"/>
        </w:rPr>
        <w:t>Frais liés aux procédures judiciaires, y compris les honoraires d'avocat et les dépôts de plainte ou autre acte de procédure ;</w:t>
      </w:r>
    </w:p>
    <w:p w14:paraId="3151B47A" w14:textId="3599A180" w:rsidR="00E104A6" w:rsidRPr="002A095B" w:rsidRDefault="00E104A6" w:rsidP="00E104A6">
      <w:pPr>
        <w:pStyle w:val="Paragraphedeliste"/>
        <w:numPr>
          <w:ilvl w:val="0"/>
          <w:numId w:val="27"/>
        </w:numPr>
        <w:spacing w:after="0" w:line="259" w:lineRule="auto"/>
        <w:ind w:right="0"/>
        <w:rPr>
          <w:rFonts w:asciiTheme="majorBidi" w:hAnsiTheme="majorBidi" w:cstheme="majorBidi"/>
          <w:bCs/>
          <w:color w:val="auto"/>
          <w:sz w:val="22"/>
        </w:rPr>
      </w:pPr>
      <w:r w:rsidRPr="002A095B">
        <w:rPr>
          <w:rFonts w:asciiTheme="majorBidi" w:hAnsiTheme="majorBidi" w:cstheme="majorBidi"/>
          <w:bCs/>
          <w:color w:val="auto"/>
          <w:sz w:val="22"/>
        </w:rPr>
        <w:t xml:space="preserve">Frais liés à l’octroi d’une assistance psycho-sociale aux victimes et témoins de violations des droits de l’homme ; </w:t>
      </w:r>
    </w:p>
    <w:p w14:paraId="61D586E9" w14:textId="710EB09A" w:rsidR="00E104A6" w:rsidRPr="002A095B" w:rsidRDefault="00E104A6" w:rsidP="00E104A6">
      <w:pPr>
        <w:pStyle w:val="Paragraphedeliste"/>
        <w:numPr>
          <w:ilvl w:val="0"/>
          <w:numId w:val="27"/>
        </w:numPr>
        <w:spacing w:after="0" w:line="259" w:lineRule="auto"/>
        <w:ind w:right="0"/>
        <w:rPr>
          <w:rFonts w:asciiTheme="majorBidi" w:hAnsiTheme="majorBidi" w:cstheme="majorBidi"/>
          <w:bCs/>
          <w:color w:val="auto"/>
          <w:sz w:val="22"/>
        </w:rPr>
      </w:pPr>
      <w:r w:rsidRPr="002A095B">
        <w:rPr>
          <w:rFonts w:asciiTheme="majorBidi" w:hAnsiTheme="majorBidi" w:cstheme="majorBidi"/>
          <w:bCs/>
          <w:color w:val="auto"/>
          <w:sz w:val="22"/>
        </w:rPr>
        <w:t>Frais liés aux activités de collecte de données (transport, indemnité journalière de subsistance, y compris logement du personnel effectuant les visites de terrain) ;</w:t>
      </w:r>
    </w:p>
    <w:p w14:paraId="5B99F144" w14:textId="4C475D44" w:rsidR="00E104A6" w:rsidRPr="002A095B" w:rsidRDefault="00E104A6" w:rsidP="00E104A6">
      <w:pPr>
        <w:pStyle w:val="Paragraphedeliste"/>
        <w:numPr>
          <w:ilvl w:val="0"/>
          <w:numId w:val="27"/>
        </w:numPr>
        <w:spacing w:after="0" w:line="259" w:lineRule="auto"/>
        <w:ind w:right="0"/>
        <w:rPr>
          <w:rFonts w:asciiTheme="majorBidi" w:hAnsiTheme="majorBidi" w:cstheme="majorBidi"/>
          <w:bCs/>
          <w:color w:val="auto"/>
          <w:sz w:val="22"/>
        </w:rPr>
      </w:pPr>
      <w:r w:rsidRPr="002A095B">
        <w:rPr>
          <w:rFonts w:asciiTheme="majorBidi" w:hAnsiTheme="majorBidi" w:cstheme="majorBidi"/>
          <w:bCs/>
          <w:color w:val="auto"/>
          <w:sz w:val="22"/>
        </w:rPr>
        <w:t>Honoraires pour les membres du personnel impliqués dans la mise en œuvre des activités, à un taux raisonnable ;</w:t>
      </w:r>
    </w:p>
    <w:p w14:paraId="496DD0CC" w14:textId="05754AF1" w:rsidR="00E104A6" w:rsidRPr="002A095B" w:rsidRDefault="00E104A6" w:rsidP="00E104A6">
      <w:pPr>
        <w:spacing w:after="0" w:line="259" w:lineRule="auto"/>
        <w:ind w:left="244" w:right="0" w:firstLine="0"/>
        <w:rPr>
          <w:rFonts w:asciiTheme="majorBidi" w:hAnsiTheme="majorBidi" w:cstheme="majorBidi"/>
          <w:bCs/>
          <w:color w:val="0070C0"/>
          <w:sz w:val="22"/>
        </w:rPr>
      </w:pPr>
    </w:p>
    <w:p w14:paraId="14F00D56" w14:textId="77777777" w:rsidR="00E104A6" w:rsidRPr="00EA1996" w:rsidRDefault="00E104A6" w:rsidP="00E104A6">
      <w:pPr>
        <w:spacing w:after="0" w:line="259" w:lineRule="auto"/>
        <w:ind w:left="244" w:right="0" w:firstLine="0"/>
        <w:rPr>
          <w:rFonts w:asciiTheme="majorBidi" w:hAnsiTheme="majorBidi" w:cstheme="majorBidi"/>
          <w:b/>
          <w:color w:val="0070C0"/>
          <w:sz w:val="22"/>
        </w:rPr>
      </w:pPr>
      <w:r w:rsidRPr="00EA1996">
        <w:rPr>
          <w:rFonts w:asciiTheme="majorBidi" w:hAnsiTheme="majorBidi" w:cstheme="majorBidi"/>
          <w:b/>
          <w:color w:val="0070C0"/>
          <w:sz w:val="22"/>
        </w:rPr>
        <w:t>5.</w:t>
      </w:r>
      <w:r w:rsidRPr="00EA1996">
        <w:rPr>
          <w:rFonts w:asciiTheme="majorBidi" w:hAnsiTheme="majorBidi" w:cstheme="majorBidi"/>
          <w:b/>
          <w:color w:val="0070C0"/>
          <w:sz w:val="22"/>
        </w:rPr>
        <w:tab/>
        <w:t xml:space="preserve">Suivi, évaluation et rapportage </w:t>
      </w:r>
    </w:p>
    <w:p w14:paraId="561A5CBE" w14:textId="77777777" w:rsidR="00E104A6" w:rsidRPr="002A095B" w:rsidRDefault="00E104A6" w:rsidP="00E104A6">
      <w:pPr>
        <w:spacing w:after="0" w:line="259" w:lineRule="auto"/>
        <w:ind w:left="244" w:right="0" w:firstLine="0"/>
        <w:rPr>
          <w:rFonts w:asciiTheme="majorBidi" w:hAnsiTheme="majorBidi" w:cstheme="majorBidi"/>
          <w:bCs/>
          <w:color w:val="0070C0"/>
          <w:sz w:val="22"/>
        </w:rPr>
      </w:pPr>
    </w:p>
    <w:p w14:paraId="583C4CF2" w14:textId="4EFF0D5D" w:rsidR="00E104A6" w:rsidRDefault="00E104A6" w:rsidP="00E104A6">
      <w:pPr>
        <w:spacing w:after="0" w:line="259" w:lineRule="auto"/>
        <w:ind w:left="244" w:right="0" w:firstLine="0"/>
        <w:rPr>
          <w:rFonts w:asciiTheme="majorBidi" w:hAnsiTheme="majorBidi" w:cstheme="majorBidi"/>
          <w:bCs/>
          <w:color w:val="auto"/>
          <w:sz w:val="22"/>
        </w:rPr>
      </w:pPr>
      <w:r w:rsidRPr="002A095B">
        <w:rPr>
          <w:rFonts w:asciiTheme="majorBidi" w:hAnsiTheme="majorBidi" w:cstheme="majorBidi"/>
          <w:bCs/>
          <w:color w:val="auto"/>
          <w:sz w:val="22"/>
        </w:rPr>
        <w:t xml:space="preserve">Le suivi, évaluation et rapportage sont des éléments indispensables dans le bon déroulement et gestion du projet. Cela aide à mieux comprendre l'impact des subventions et éclaire l’orientation stratégique et le développement de futurs programmes de financement.      </w:t>
      </w:r>
    </w:p>
    <w:p w14:paraId="29B09356" w14:textId="77777777" w:rsidR="00EA1996" w:rsidRPr="002A095B" w:rsidRDefault="00EA1996" w:rsidP="00E104A6">
      <w:pPr>
        <w:spacing w:after="0" w:line="259" w:lineRule="auto"/>
        <w:ind w:left="244" w:right="0" w:firstLine="0"/>
        <w:rPr>
          <w:rFonts w:asciiTheme="majorBidi" w:hAnsiTheme="majorBidi" w:cstheme="majorBidi"/>
          <w:bCs/>
          <w:color w:val="auto"/>
          <w:sz w:val="22"/>
        </w:rPr>
      </w:pPr>
    </w:p>
    <w:p w14:paraId="1C60BC4E" w14:textId="2869C80B" w:rsidR="00E104A6" w:rsidRPr="002A095B" w:rsidRDefault="00E104A6" w:rsidP="00E104A6">
      <w:pPr>
        <w:spacing w:after="0" w:line="259" w:lineRule="auto"/>
        <w:ind w:left="244" w:right="0" w:firstLine="0"/>
        <w:rPr>
          <w:rFonts w:asciiTheme="majorBidi" w:hAnsiTheme="majorBidi" w:cstheme="majorBidi"/>
          <w:bCs/>
          <w:color w:val="auto"/>
          <w:sz w:val="22"/>
        </w:rPr>
      </w:pPr>
      <w:r w:rsidRPr="002A095B">
        <w:rPr>
          <w:rFonts w:asciiTheme="majorBidi" w:hAnsiTheme="majorBidi" w:cstheme="majorBidi"/>
          <w:bCs/>
          <w:color w:val="auto"/>
          <w:sz w:val="22"/>
        </w:rPr>
        <w:t xml:space="preserve">Le suivi, l'évaluation et le rapportage vous aideront également à collecter des informations précieuses sur l'impact de votre travail et sur la manière dont les cibles en bénéficient, sur ce qui fonctionne et ce qui ne fonctionne pas, et sur les moyens par lesquels vous pourriez être en mesure de rendre votre travailler plus efficace. </w:t>
      </w:r>
    </w:p>
    <w:p w14:paraId="7D2C11CE" w14:textId="77777777" w:rsidR="00E104A6" w:rsidRPr="002A095B" w:rsidRDefault="00E104A6" w:rsidP="00E104A6">
      <w:pPr>
        <w:spacing w:after="0" w:line="259" w:lineRule="auto"/>
        <w:ind w:left="244" w:right="0" w:firstLine="0"/>
        <w:rPr>
          <w:rFonts w:asciiTheme="majorBidi" w:hAnsiTheme="majorBidi" w:cstheme="majorBidi"/>
          <w:bCs/>
          <w:color w:val="auto"/>
          <w:sz w:val="22"/>
        </w:rPr>
      </w:pPr>
    </w:p>
    <w:p w14:paraId="4624AE63" w14:textId="4C64CC20" w:rsidR="00E104A6" w:rsidRPr="002A095B" w:rsidRDefault="00E104A6" w:rsidP="00E104A6">
      <w:pPr>
        <w:spacing w:after="0" w:line="259" w:lineRule="auto"/>
        <w:ind w:left="244" w:right="0" w:firstLine="0"/>
        <w:rPr>
          <w:rFonts w:asciiTheme="majorBidi" w:hAnsiTheme="majorBidi" w:cstheme="majorBidi"/>
          <w:bCs/>
          <w:color w:val="auto"/>
          <w:sz w:val="22"/>
        </w:rPr>
      </w:pPr>
      <w:r w:rsidRPr="002A095B">
        <w:rPr>
          <w:rFonts w:asciiTheme="majorBidi" w:hAnsiTheme="majorBidi" w:cstheme="majorBidi"/>
          <w:bCs/>
          <w:color w:val="auto"/>
          <w:sz w:val="22"/>
        </w:rPr>
        <w:t xml:space="preserve">Dans le cadre de la soumission de la proposition de subvention, il est exigé que toutes les organisations bénéficiaires potentielles incluent dans leurs propositions un plan de mise en œuvre potentiel, y compris des stratégies de suivi, d'évaluation et de rapportage pour assurer l'efficacité et atteindre un impact maximal.   </w:t>
      </w:r>
    </w:p>
    <w:p w14:paraId="51F7BF11" w14:textId="77777777" w:rsidR="00E104A6" w:rsidRPr="002A095B" w:rsidRDefault="00E104A6" w:rsidP="00E104A6">
      <w:pPr>
        <w:spacing w:after="0" w:line="259" w:lineRule="auto"/>
        <w:ind w:left="244" w:right="0" w:firstLine="0"/>
        <w:rPr>
          <w:rFonts w:asciiTheme="majorBidi" w:hAnsiTheme="majorBidi" w:cstheme="majorBidi"/>
          <w:bCs/>
          <w:color w:val="auto"/>
          <w:sz w:val="22"/>
        </w:rPr>
      </w:pPr>
    </w:p>
    <w:p w14:paraId="5D4BBDA0" w14:textId="77777777" w:rsidR="00E104A6" w:rsidRPr="002A095B" w:rsidRDefault="00E104A6" w:rsidP="00E104A6">
      <w:pPr>
        <w:spacing w:after="0" w:line="259" w:lineRule="auto"/>
        <w:ind w:left="244" w:right="0" w:firstLine="0"/>
        <w:rPr>
          <w:rFonts w:asciiTheme="majorBidi" w:hAnsiTheme="majorBidi" w:cstheme="majorBidi"/>
          <w:bCs/>
          <w:color w:val="auto"/>
          <w:sz w:val="22"/>
        </w:rPr>
      </w:pPr>
      <w:r w:rsidRPr="002A095B">
        <w:rPr>
          <w:rFonts w:asciiTheme="majorBidi" w:hAnsiTheme="majorBidi" w:cstheme="majorBidi"/>
          <w:bCs/>
          <w:color w:val="auto"/>
          <w:sz w:val="22"/>
        </w:rPr>
        <w:t>Après l'attribution des subventions, toutes les organisations bénéficiaires (sélectionnées) et les membres de leur équipe seront invités à un atelier de lancement. Au cours de cet atelier de lancement, les principaux sujets qui seront abordés comprennent la gestion de projet de subvention, le suivi, l'évaluation et l'établissement de rapports ainsi que la gestion financière. Des modèles pour tous les rapports techniques narratifs et financiers requis seront également partagés.</w:t>
      </w:r>
    </w:p>
    <w:p w14:paraId="0842F2B2" w14:textId="4E4F8FC8" w:rsidR="00E104A6" w:rsidRPr="002A095B" w:rsidRDefault="00E104A6" w:rsidP="00E104A6">
      <w:pPr>
        <w:spacing w:after="0" w:line="259" w:lineRule="auto"/>
        <w:ind w:left="244" w:right="0" w:firstLine="0"/>
        <w:rPr>
          <w:rFonts w:asciiTheme="majorBidi" w:hAnsiTheme="majorBidi" w:cstheme="majorBidi"/>
          <w:bCs/>
          <w:color w:val="auto"/>
          <w:sz w:val="22"/>
        </w:rPr>
      </w:pPr>
      <w:r w:rsidRPr="002A095B">
        <w:rPr>
          <w:rFonts w:asciiTheme="majorBidi" w:hAnsiTheme="majorBidi" w:cstheme="majorBidi"/>
          <w:bCs/>
          <w:color w:val="auto"/>
          <w:sz w:val="22"/>
        </w:rPr>
        <w:t xml:space="preserve">  </w:t>
      </w:r>
    </w:p>
    <w:p w14:paraId="0B654B44" w14:textId="77777777" w:rsidR="00E104A6" w:rsidRPr="00EA1996" w:rsidRDefault="00E104A6" w:rsidP="00E104A6">
      <w:pPr>
        <w:spacing w:after="0" w:line="259" w:lineRule="auto"/>
        <w:ind w:left="244" w:right="0" w:firstLine="0"/>
        <w:rPr>
          <w:rFonts w:asciiTheme="majorBidi" w:hAnsiTheme="majorBidi" w:cstheme="majorBidi"/>
          <w:b/>
          <w:color w:val="0070C0"/>
          <w:sz w:val="22"/>
        </w:rPr>
      </w:pPr>
      <w:r w:rsidRPr="00EA1996">
        <w:rPr>
          <w:rFonts w:asciiTheme="majorBidi" w:hAnsiTheme="majorBidi" w:cstheme="majorBidi"/>
          <w:b/>
          <w:color w:val="0070C0"/>
          <w:sz w:val="22"/>
        </w:rPr>
        <w:t>6.</w:t>
      </w:r>
      <w:r w:rsidRPr="00EA1996">
        <w:rPr>
          <w:rFonts w:asciiTheme="majorBidi" w:hAnsiTheme="majorBidi" w:cstheme="majorBidi"/>
          <w:b/>
          <w:color w:val="0070C0"/>
          <w:sz w:val="22"/>
        </w:rPr>
        <w:tab/>
        <w:t xml:space="preserve">Critères d’éligibilité  </w:t>
      </w:r>
    </w:p>
    <w:p w14:paraId="2100F212" w14:textId="77777777" w:rsidR="00E104A6" w:rsidRPr="002A095B" w:rsidRDefault="00E104A6" w:rsidP="00E104A6">
      <w:pPr>
        <w:spacing w:after="0" w:line="259" w:lineRule="auto"/>
        <w:ind w:left="244" w:right="0" w:firstLine="0"/>
        <w:rPr>
          <w:rFonts w:asciiTheme="majorBidi" w:hAnsiTheme="majorBidi" w:cstheme="majorBidi"/>
          <w:bCs/>
          <w:color w:val="0070C0"/>
          <w:sz w:val="22"/>
        </w:rPr>
      </w:pPr>
    </w:p>
    <w:p w14:paraId="480536CF" w14:textId="3C5369CA" w:rsidR="00E104A6" w:rsidRPr="002A095B" w:rsidRDefault="00E104A6" w:rsidP="00E104A6">
      <w:pPr>
        <w:spacing w:after="0" w:line="259" w:lineRule="auto"/>
        <w:ind w:left="244" w:right="0" w:firstLine="0"/>
        <w:rPr>
          <w:rFonts w:asciiTheme="majorBidi" w:hAnsiTheme="majorBidi" w:cstheme="majorBidi"/>
          <w:bCs/>
          <w:color w:val="auto"/>
          <w:sz w:val="22"/>
        </w:rPr>
      </w:pPr>
      <w:r w:rsidRPr="002A095B">
        <w:rPr>
          <w:rFonts w:asciiTheme="majorBidi" w:hAnsiTheme="majorBidi" w:cstheme="majorBidi"/>
          <w:bCs/>
          <w:color w:val="auto"/>
          <w:sz w:val="22"/>
        </w:rPr>
        <w:t xml:space="preserve">Pour être éligibles, les organisations de la société civile candidates à la subvention doivent répondre aux critères suivants : </w:t>
      </w:r>
    </w:p>
    <w:p w14:paraId="670E4EA3" w14:textId="77777777" w:rsidR="00E104A6" w:rsidRPr="002A095B" w:rsidRDefault="00E104A6" w:rsidP="00E104A6">
      <w:pPr>
        <w:spacing w:after="0" w:line="259" w:lineRule="auto"/>
        <w:ind w:left="244" w:right="0" w:firstLine="0"/>
        <w:rPr>
          <w:rFonts w:asciiTheme="majorBidi" w:hAnsiTheme="majorBidi" w:cstheme="majorBidi"/>
          <w:bCs/>
          <w:color w:val="auto"/>
          <w:sz w:val="22"/>
        </w:rPr>
      </w:pPr>
    </w:p>
    <w:p w14:paraId="0B148B81" w14:textId="63AF09E4" w:rsidR="00E104A6" w:rsidRPr="002A095B" w:rsidRDefault="00E104A6" w:rsidP="00E104A6">
      <w:pPr>
        <w:pStyle w:val="Paragraphedeliste"/>
        <w:numPr>
          <w:ilvl w:val="0"/>
          <w:numId w:val="28"/>
        </w:numPr>
        <w:spacing w:after="0" w:line="259" w:lineRule="auto"/>
        <w:ind w:right="0"/>
        <w:rPr>
          <w:rFonts w:asciiTheme="majorBidi" w:hAnsiTheme="majorBidi" w:cstheme="majorBidi"/>
          <w:bCs/>
          <w:color w:val="auto"/>
          <w:sz w:val="22"/>
        </w:rPr>
      </w:pPr>
      <w:r w:rsidRPr="002A095B">
        <w:rPr>
          <w:rFonts w:asciiTheme="majorBidi" w:hAnsiTheme="majorBidi" w:cstheme="majorBidi"/>
          <w:bCs/>
          <w:color w:val="auto"/>
          <w:sz w:val="22"/>
        </w:rPr>
        <w:t xml:space="preserve">Être une organisation de la société civile promouvant les droits de l’homme, légalement constituée et enregistrée depuis au moins </w:t>
      </w:r>
      <w:r w:rsidR="00141404">
        <w:rPr>
          <w:rFonts w:asciiTheme="majorBidi" w:hAnsiTheme="majorBidi" w:cstheme="majorBidi"/>
          <w:bCs/>
          <w:color w:val="auto"/>
          <w:sz w:val="22"/>
        </w:rPr>
        <w:t>deux</w:t>
      </w:r>
      <w:r w:rsidRPr="002A095B">
        <w:rPr>
          <w:rFonts w:asciiTheme="majorBidi" w:hAnsiTheme="majorBidi" w:cstheme="majorBidi"/>
          <w:bCs/>
          <w:color w:val="auto"/>
          <w:sz w:val="22"/>
        </w:rPr>
        <w:t xml:space="preserve"> (</w:t>
      </w:r>
      <w:r w:rsidR="00141404">
        <w:rPr>
          <w:rFonts w:asciiTheme="majorBidi" w:hAnsiTheme="majorBidi" w:cstheme="majorBidi"/>
          <w:bCs/>
          <w:color w:val="auto"/>
          <w:sz w:val="22"/>
        </w:rPr>
        <w:t>2</w:t>
      </w:r>
      <w:r w:rsidRPr="002A095B">
        <w:rPr>
          <w:rFonts w:asciiTheme="majorBidi" w:hAnsiTheme="majorBidi" w:cstheme="majorBidi"/>
          <w:bCs/>
          <w:color w:val="auto"/>
          <w:sz w:val="22"/>
        </w:rPr>
        <w:t xml:space="preserve">) ans ; </w:t>
      </w:r>
    </w:p>
    <w:p w14:paraId="2E388159" w14:textId="34898A0C" w:rsidR="00E104A6" w:rsidRPr="002A095B" w:rsidRDefault="00E104A6" w:rsidP="00E104A6">
      <w:pPr>
        <w:pStyle w:val="Paragraphedeliste"/>
        <w:numPr>
          <w:ilvl w:val="0"/>
          <w:numId w:val="28"/>
        </w:numPr>
        <w:spacing w:after="0" w:line="259" w:lineRule="auto"/>
        <w:ind w:right="0"/>
        <w:rPr>
          <w:rFonts w:asciiTheme="majorBidi" w:hAnsiTheme="majorBidi" w:cstheme="majorBidi"/>
          <w:bCs/>
          <w:color w:val="auto"/>
          <w:sz w:val="22"/>
        </w:rPr>
      </w:pPr>
      <w:r w:rsidRPr="002A095B">
        <w:rPr>
          <w:rFonts w:asciiTheme="majorBidi" w:hAnsiTheme="majorBidi" w:cstheme="majorBidi"/>
          <w:bCs/>
          <w:color w:val="auto"/>
          <w:sz w:val="22"/>
        </w:rPr>
        <w:lastRenderedPageBreak/>
        <w:t xml:space="preserve">Travailler et être basée à Ndjamena ou dans une des provinces du pays ; </w:t>
      </w:r>
    </w:p>
    <w:p w14:paraId="1B81BA1D" w14:textId="27FF6A9C" w:rsidR="00E104A6" w:rsidRPr="002A095B" w:rsidRDefault="00E104A6" w:rsidP="00E104A6">
      <w:pPr>
        <w:pStyle w:val="Paragraphedeliste"/>
        <w:numPr>
          <w:ilvl w:val="0"/>
          <w:numId w:val="28"/>
        </w:numPr>
        <w:spacing w:after="0" w:line="259" w:lineRule="auto"/>
        <w:ind w:right="0"/>
        <w:rPr>
          <w:rFonts w:asciiTheme="majorBidi" w:hAnsiTheme="majorBidi" w:cstheme="majorBidi"/>
          <w:bCs/>
          <w:color w:val="auto"/>
          <w:sz w:val="22"/>
        </w:rPr>
      </w:pPr>
      <w:r w:rsidRPr="002A095B">
        <w:rPr>
          <w:rFonts w:asciiTheme="majorBidi" w:hAnsiTheme="majorBidi" w:cstheme="majorBidi"/>
          <w:bCs/>
          <w:color w:val="auto"/>
          <w:sz w:val="22"/>
        </w:rPr>
        <w:t>Avoir dans leur mandat la protection des personnes vulnérables notamment les femmes, les enfants, les personnes handicapées, ainsi qu’être déjà engagé dans une ou plusieurs activités dont fait l’objet le présent appel à candidature.</w:t>
      </w:r>
    </w:p>
    <w:p w14:paraId="1309F3EF" w14:textId="5B8FC46B" w:rsidR="00E104A6" w:rsidRPr="002A095B" w:rsidRDefault="00E104A6" w:rsidP="00E104A6">
      <w:pPr>
        <w:pStyle w:val="Paragraphedeliste"/>
        <w:numPr>
          <w:ilvl w:val="0"/>
          <w:numId w:val="28"/>
        </w:numPr>
        <w:spacing w:after="0" w:line="259" w:lineRule="auto"/>
        <w:ind w:right="0"/>
        <w:rPr>
          <w:rFonts w:asciiTheme="majorBidi" w:hAnsiTheme="majorBidi" w:cstheme="majorBidi"/>
          <w:bCs/>
          <w:color w:val="auto"/>
          <w:sz w:val="22"/>
        </w:rPr>
      </w:pPr>
      <w:r w:rsidRPr="002A095B">
        <w:rPr>
          <w:rFonts w:asciiTheme="majorBidi" w:hAnsiTheme="majorBidi" w:cstheme="majorBidi"/>
          <w:bCs/>
          <w:color w:val="auto"/>
          <w:sz w:val="22"/>
        </w:rPr>
        <w:t xml:space="preserve">Disposer des rapports narratifs et financiers des </w:t>
      </w:r>
      <w:r w:rsidR="00B815DD">
        <w:rPr>
          <w:rFonts w:asciiTheme="majorBidi" w:hAnsiTheme="majorBidi" w:cstheme="majorBidi"/>
          <w:bCs/>
          <w:color w:val="auto"/>
          <w:sz w:val="22"/>
        </w:rPr>
        <w:t>deux</w:t>
      </w:r>
      <w:r w:rsidRPr="002A095B">
        <w:rPr>
          <w:rFonts w:asciiTheme="majorBidi" w:hAnsiTheme="majorBidi" w:cstheme="majorBidi"/>
          <w:bCs/>
          <w:color w:val="auto"/>
          <w:sz w:val="22"/>
        </w:rPr>
        <w:t xml:space="preserve"> dernières années d’exercice ;</w:t>
      </w:r>
    </w:p>
    <w:p w14:paraId="1BBB891A" w14:textId="7C937EA9" w:rsidR="00E104A6" w:rsidRPr="002A095B" w:rsidRDefault="00E104A6" w:rsidP="00E104A6">
      <w:pPr>
        <w:pStyle w:val="Paragraphedeliste"/>
        <w:numPr>
          <w:ilvl w:val="0"/>
          <w:numId w:val="28"/>
        </w:numPr>
        <w:spacing w:after="0" w:line="259" w:lineRule="auto"/>
        <w:ind w:right="0"/>
        <w:rPr>
          <w:rFonts w:asciiTheme="majorBidi" w:hAnsiTheme="majorBidi" w:cstheme="majorBidi"/>
          <w:bCs/>
          <w:color w:val="auto"/>
          <w:sz w:val="22"/>
        </w:rPr>
      </w:pPr>
      <w:r w:rsidRPr="002A095B">
        <w:rPr>
          <w:rFonts w:asciiTheme="majorBidi" w:hAnsiTheme="majorBidi" w:cstheme="majorBidi"/>
          <w:bCs/>
          <w:color w:val="auto"/>
          <w:sz w:val="22"/>
        </w:rPr>
        <w:t xml:space="preserve">Avoir au moins, une expérience de coopération avec les mécanismes internationaux et régionaux (rapports alternatifs destinés aux organes de traité, à l’examen périodique universel, requête adressée aux Titulaires de mandats au titre des Procédures Spéciales, </w:t>
      </w:r>
      <w:proofErr w:type="spellStart"/>
      <w:r w:rsidRPr="002A095B">
        <w:rPr>
          <w:rFonts w:asciiTheme="majorBidi" w:hAnsiTheme="majorBidi" w:cstheme="majorBidi"/>
          <w:bCs/>
          <w:color w:val="auto"/>
          <w:sz w:val="22"/>
        </w:rPr>
        <w:t>etc</w:t>
      </w:r>
      <w:proofErr w:type="spellEnd"/>
      <w:r w:rsidRPr="002A095B">
        <w:rPr>
          <w:rFonts w:asciiTheme="majorBidi" w:hAnsiTheme="majorBidi" w:cstheme="majorBidi"/>
          <w:bCs/>
          <w:color w:val="auto"/>
          <w:sz w:val="22"/>
        </w:rPr>
        <w:t xml:space="preserve">).      </w:t>
      </w:r>
    </w:p>
    <w:p w14:paraId="470B8035" w14:textId="56DD73B8" w:rsidR="00E104A6" w:rsidRPr="00EA1996" w:rsidRDefault="00E104A6" w:rsidP="00E104A6">
      <w:pPr>
        <w:spacing w:after="0" w:line="259" w:lineRule="auto"/>
        <w:ind w:left="244" w:right="0" w:firstLine="0"/>
        <w:rPr>
          <w:rFonts w:asciiTheme="majorBidi" w:hAnsiTheme="majorBidi" w:cstheme="majorBidi"/>
          <w:b/>
          <w:color w:val="0070C0"/>
          <w:sz w:val="22"/>
        </w:rPr>
      </w:pPr>
    </w:p>
    <w:p w14:paraId="1F423C1C" w14:textId="77777777" w:rsidR="00E104A6" w:rsidRPr="00EA1996" w:rsidRDefault="00E104A6" w:rsidP="00E104A6">
      <w:pPr>
        <w:spacing w:after="0" w:line="259" w:lineRule="auto"/>
        <w:ind w:left="244" w:right="0" w:firstLine="0"/>
        <w:rPr>
          <w:rFonts w:asciiTheme="majorBidi" w:hAnsiTheme="majorBidi" w:cstheme="majorBidi"/>
          <w:b/>
          <w:color w:val="0070C0"/>
          <w:sz w:val="22"/>
        </w:rPr>
      </w:pPr>
      <w:r w:rsidRPr="00EA1996">
        <w:rPr>
          <w:rFonts w:asciiTheme="majorBidi" w:hAnsiTheme="majorBidi" w:cstheme="majorBidi"/>
          <w:b/>
          <w:color w:val="0070C0"/>
          <w:sz w:val="22"/>
        </w:rPr>
        <w:t>7.</w:t>
      </w:r>
      <w:r w:rsidRPr="00EA1996">
        <w:rPr>
          <w:rFonts w:asciiTheme="majorBidi" w:hAnsiTheme="majorBidi" w:cstheme="majorBidi"/>
          <w:b/>
          <w:color w:val="0070C0"/>
          <w:sz w:val="22"/>
        </w:rPr>
        <w:tab/>
        <w:t xml:space="preserve">Contenu et format des candidatures  </w:t>
      </w:r>
    </w:p>
    <w:p w14:paraId="0778CB0B" w14:textId="77777777" w:rsidR="00E104A6" w:rsidRPr="002A095B" w:rsidRDefault="00E104A6" w:rsidP="00E104A6">
      <w:pPr>
        <w:spacing w:after="0" w:line="259" w:lineRule="auto"/>
        <w:ind w:left="244" w:right="0" w:firstLine="0"/>
        <w:rPr>
          <w:rFonts w:asciiTheme="majorBidi" w:hAnsiTheme="majorBidi" w:cstheme="majorBidi"/>
          <w:bCs/>
          <w:color w:val="0070C0"/>
          <w:sz w:val="22"/>
        </w:rPr>
      </w:pPr>
    </w:p>
    <w:p w14:paraId="4B08C341" w14:textId="7A6ECB43" w:rsidR="00E104A6" w:rsidRPr="002A095B" w:rsidRDefault="00E104A6" w:rsidP="00E104A6">
      <w:pPr>
        <w:spacing w:after="0" w:line="259" w:lineRule="auto"/>
        <w:ind w:left="244" w:right="0" w:firstLine="0"/>
        <w:rPr>
          <w:rFonts w:asciiTheme="majorBidi" w:hAnsiTheme="majorBidi" w:cstheme="majorBidi"/>
          <w:bCs/>
          <w:color w:val="auto"/>
          <w:sz w:val="22"/>
        </w:rPr>
      </w:pPr>
      <w:r w:rsidRPr="002A095B">
        <w:rPr>
          <w:rFonts w:asciiTheme="majorBidi" w:hAnsiTheme="majorBidi" w:cstheme="majorBidi"/>
          <w:bCs/>
          <w:color w:val="auto"/>
          <w:sz w:val="22"/>
        </w:rPr>
        <w:t xml:space="preserve">Toute demande doit être rédigée en français et comporter les informations et documents suivants :   </w:t>
      </w:r>
    </w:p>
    <w:p w14:paraId="2A378096" w14:textId="77777777" w:rsidR="00E104A6" w:rsidRPr="002A095B" w:rsidRDefault="00E104A6" w:rsidP="00E104A6">
      <w:pPr>
        <w:spacing w:after="0" w:line="259" w:lineRule="auto"/>
        <w:ind w:left="244" w:right="0" w:firstLine="0"/>
        <w:rPr>
          <w:rFonts w:asciiTheme="majorBidi" w:hAnsiTheme="majorBidi" w:cstheme="majorBidi"/>
          <w:bCs/>
          <w:color w:val="auto"/>
          <w:sz w:val="22"/>
        </w:rPr>
      </w:pPr>
      <w:r w:rsidRPr="002A095B">
        <w:rPr>
          <w:rFonts w:asciiTheme="majorBidi" w:hAnsiTheme="majorBidi" w:cstheme="majorBidi"/>
          <w:bCs/>
          <w:color w:val="auto"/>
          <w:sz w:val="22"/>
        </w:rPr>
        <w:t xml:space="preserve"> </w:t>
      </w:r>
    </w:p>
    <w:p w14:paraId="2E4CCA84" w14:textId="79A40175" w:rsidR="00E104A6" w:rsidRPr="002A095B" w:rsidRDefault="00E104A6" w:rsidP="00E104A6">
      <w:pPr>
        <w:pStyle w:val="Paragraphedeliste"/>
        <w:numPr>
          <w:ilvl w:val="0"/>
          <w:numId w:val="29"/>
        </w:numPr>
        <w:spacing w:after="0" w:line="259" w:lineRule="auto"/>
        <w:ind w:right="0"/>
        <w:rPr>
          <w:rFonts w:asciiTheme="majorBidi" w:hAnsiTheme="majorBidi" w:cstheme="majorBidi"/>
          <w:bCs/>
          <w:color w:val="auto"/>
          <w:sz w:val="22"/>
        </w:rPr>
      </w:pPr>
      <w:r w:rsidRPr="002A095B">
        <w:rPr>
          <w:rFonts w:asciiTheme="majorBidi" w:hAnsiTheme="majorBidi" w:cstheme="majorBidi"/>
          <w:bCs/>
          <w:color w:val="auto"/>
          <w:sz w:val="22"/>
        </w:rPr>
        <w:t xml:space="preserve">Une proposition de projet en remplissant le document Word dédié (10 pages maximum) ; </w:t>
      </w:r>
    </w:p>
    <w:p w14:paraId="23D8F1B2" w14:textId="09A042D4" w:rsidR="00E104A6" w:rsidRPr="002A095B" w:rsidRDefault="00E104A6" w:rsidP="00E104A6">
      <w:pPr>
        <w:pStyle w:val="Paragraphedeliste"/>
        <w:numPr>
          <w:ilvl w:val="0"/>
          <w:numId w:val="29"/>
        </w:numPr>
        <w:spacing w:after="0" w:line="259" w:lineRule="auto"/>
        <w:ind w:right="0"/>
        <w:rPr>
          <w:rFonts w:asciiTheme="majorBidi" w:hAnsiTheme="majorBidi" w:cstheme="majorBidi"/>
          <w:bCs/>
          <w:color w:val="auto"/>
          <w:sz w:val="22"/>
        </w:rPr>
      </w:pPr>
      <w:r w:rsidRPr="002A095B">
        <w:rPr>
          <w:rFonts w:asciiTheme="majorBidi" w:hAnsiTheme="majorBidi" w:cstheme="majorBidi"/>
          <w:bCs/>
          <w:color w:val="auto"/>
          <w:sz w:val="22"/>
        </w:rPr>
        <w:t>Un budget en remplissant le tableau Excel dédié, qui indique clairement les frais et le partage des coûts entre la subvention et d’autres sources de financement ;</w:t>
      </w:r>
    </w:p>
    <w:p w14:paraId="64308539" w14:textId="0574CEED" w:rsidR="00E104A6" w:rsidRPr="002A095B" w:rsidRDefault="00E104A6" w:rsidP="00E104A6">
      <w:pPr>
        <w:pStyle w:val="Paragraphedeliste"/>
        <w:numPr>
          <w:ilvl w:val="0"/>
          <w:numId w:val="29"/>
        </w:numPr>
        <w:spacing w:after="0" w:line="259" w:lineRule="auto"/>
        <w:ind w:right="0"/>
        <w:rPr>
          <w:rFonts w:asciiTheme="majorBidi" w:hAnsiTheme="majorBidi" w:cstheme="majorBidi"/>
          <w:bCs/>
          <w:color w:val="auto"/>
          <w:sz w:val="22"/>
        </w:rPr>
      </w:pPr>
      <w:r w:rsidRPr="002A095B">
        <w:rPr>
          <w:rFonts w:asciiTheme="majorBidi" w:hAnsiTheme="majorBidi" w:cstheme="majorBidi"/>
          <w:bCs/>
          <w:color w:val="auto"/>
          <w:sz w:val="22"/>
        </w:rPr>
        <w:t>Les CV des membres du personnel dont le salaire sera (entièrement ou en partie) payé par la subvention ;</w:t>
      </w:r>
    </w:p>
    <w:p w14:paraId="6D3308DA" w14:textId="744B95DD" w:rsidR="00E104A6" w:rsidRPr="002A095B" w:rsidRDefault="00E104A6" w:rsidP="00E104A6">
      <w:pPr>
        <w:pStyle w:val="Paragraphedeliste"/>
        <w:numPr>
          <w:ilvl w:val="0"/>
          <w:numId w:val="29"/>
        </w:numPr>
        <w:spacing w:after="0" w:line="259" w:lineRule="auto"/>
        <w:ind w:right="0"/>
        <w:rPr>
          <w:rFonts w:asciiTheme="majorBidi" w:hAnsiTheme="majorBidi" w:cstheme="majorBidi"/>
          <w:bCs/>
          <w:color w:val="auto"/>
          <w:sz w:val="22"/>
        </w:rPr>
      </w:pPr>
      <w:r w:rsidRPr="002A095B">
        <w:rPr>
          <w:rFonts w:asciiTheme="majorBidi" w:hAnsiTheme="majorBidi" w:cstheme="majorBidi"/>
          <w:bCs/>
          <w:color w:val="auto"/>
          <w:sz w:val="22"/>
        </w:rPr>
        <w:t>La preuve de l’enregistrement officiel dans le pays où est basée l’organisation (certificat, récépissé de déclaration, etc.) ;</w:t>
      </w:r>
    </w:p>
    <w:p w14:paraId="1F4DA5C2" w14:textId="20B51C70" w:rsidR="00E104A6" w:rsidRPr="002A095B" w:rsidRDefault="00E104A6" w:rsidP="00E104A6">
      <w:pPr>
        <w:pStyle w:val="Paragraphedeliste"/>
        <w:numPr>
          <w:ilvl w:val="0"/>
          <w:numId w:val="29"/>
        </w:numPr>
        <w:spacing w:after="0" w:line="259" w:lineRule="auto"/>
        <w:ind w:right="0"/>
        <w:rPr>
          <w:rFonts w:asciiTheme="majorBidi" w:hAnsiTheme="majorBidi" w:cstheme="majorBidi"/>
          <w:bCs/>
          <w:color w:val="auto"/>
          <w:sz w:val="22"/>
        </w:rPr>
      </w:pPr>
      <w:r w:rsidRPr="002A095B">
        <w:rPr>
          <w:rFonts w:asciiTheme="majorBidi" w:hAnsiTheme="majorBidi" w:cstheme="majorBidi"/>
          <w:bCs/>
          <w:color w:val="auto"/>
          <w:sz w:val="22"/>
        </w:rPr>
        <w:t>Les rapports financiers des trois (3) dernières années ;</w:t>
      </w:r>
    </w:p>
    <w:p w14:paraId="00DCB6F5" w14:textId="77777777" w:rsidR="00E104A6" w:rsidRPr="002A095B" w:rsidRDefault="00E104A6" w:rsidP="00E104A6">
      <w:pPr>
        <w:spacing w:after="0" w:line="259" w:lineRule="auto"/>
        <w:ind w:left="244" w:right="0" w:firstLine="0"/>
        <w:rPr>
          <w:rFonts w:asciiTheme="majorBidi" w:hAnsiTheme="majorBidi" w:cstheme="majorBidi"/>
          <w:bCs/>
          <w:color w:val="auto"/>
          <w:sz w:val="22"/>
        </w:rPr>
      </w:pPr>
      <w:r w:rsidRPr="002A095B">
        <w:rPr>
          <w:rFonts w:asciiTheme="majorBidi" w:hAnsiTheme="majorBidi" w:cstheme="majorBidi"/>
          <w:bCs/>
          <w:color w:val="auto"/>
          <w:sz w:val="22"/>
        </w:rPr>
        <w:t xml:space="preserve"> </w:t>
      </w:r>
    </w:p>
    <w:p w14:paraId="2E638050" w14:textId="77777777" w:rsidR="00E104A6" w:rsidRPr="002A095B" w:rsidRDefault="00E104A6" w:rsidP="00E104A6">
      <w:pPr>
        <w:spacing w:after="0" w:line="259" w:lineRule="auto"/>
        <w:ind w:left="244" w:right="0" w:firstLine="0"/>
        <w:rPr>
          <w:rFonts w:asciiTheme="majorBidi" w:hAnsiTheme="majorBidi" w:cstheme="majorBidi"/>
          <w:bCs/>
          <w:color w:val="auto"/>
          <w:sz w:val="22"/>
        </w:rPr>
      </w:pPr>
      <w:r w:rsidRPr="002A095B">
        <w:rPr>
          <w:rFonts w:asciiTheme="majorBidi" w:hAnsiTheme="majorBidi" w:cstheme="majorBidi"/>
          <w:bCs/>
          <w:color w:val="auto"/>
          <w:sz w:val="22"/>
        </w:rPr>
        <w:t xml:space="preserve">Une fois la proposition de subvention acceptée, tous les documents finaux du projet devront être traduits en anglais. Si besoin, veuillez prévoir une ligne budgétaire pour des services de traduction.  </w:t>
      </w:r>
    </w:p>
    <w:p w14:paraId="09A0AF40" w14:textId="761108F4" w:rsidR="002A095B" w:rsidRPr="002A095B" w:rsidRDefault="00E104A6" w:rsidP="00EA1996">
      <w:pPr>
        <w:spacing w:after="0" w:line="259" w:lineRule="auto"/>
        <w:ind w:left="244" w:right="0" w:firstLine="0"/>
        <w:rPr>
          <w:rFonts w:asciiTheme="majorBidi" w:hAnsiTheme="majorBidi" w:cstheme="majorBidi"/>
          <w:bCs/>
          <w:color w:val="0070C0"/>
          <w:sz w:val="22"/>
        </w:rPr>
      </w:pPr>
      <w:r w:rsidRPr="002A095B">
        <w:rPr>
          <w:rFonts w:asciiTheme="majorBidi" w:hAnsiTheme="majorBidi" w:cstheme="majorBidi"/>
          <w:bCs/>
          <w:color w:val="0070C0"/>
          <w:sz w:val="22"/>
        </w:rPr>
        <w:t xml:space="preserve"> </w:t>
      </w:r>
    </w:p>
    <w:p w14:paraId="048779DF" w14:textId="55DFE6A8" w:rsidR="00E104A6" w:rsidRPr="00EA1996" w:rsidRDefault="00E104A6" w:rsidP="00E104A6">
      <w:pPr>
        <w:spacing w:after="0" w:line="259" w:lineRule="auto"/>
        <w:ind w:left="244" w:right="0" w:firstLine="0"/>
        <w:rPr>
          <w:rFonts w:asciiTheme="majorBidi" w:hAnsiTheme="majorBidi" w:cstheme="majorBidi"/>
          <w:b/>
          <w:color w:val="0070C0"/>
          <w:sz w:val="22"/>
        </w:rPr>
      </w:pPr>
      <w:r w:rsidRPr="00EA1996">
        <w:rPr>
          <w:rFonts w:asciiTheme="majorBidi" w:hAnsiTheme="majorBidi" w:cstheme="majorBidi"/>
          <w:b/>
          <w:color w:val="0070C0"/>
          <w:sz w:val="22"/>
        </w:rPr>
        <w:t>8.</w:t>
      </w:r>
      <w:r w:rsidRPr="00EA1996">
        <w:rPr>
          <w:rFonts w:asciiTheme="majorBidi" w:hAnsiTheme="majorBidi" w:cstheme="majorBidi"/>
          <w:b/>
          <w:color w:val="0070C0"/>
          <w:sz w:val="22"/>
        </w:rPr>
        <w:tab/>
        <w:t xml:space="preserve">Examen des candidatures </w:t>
      </w:r>
    </w:p>
    <w:p w14:paraId="7BF2B046" w14:textId="77777777" w:rsidR="00E104A6" w:rsidRPr="002A095B" w:rsidRDefault="00E104A6" w:rsidP="00E104A6">
      <w:pPr>
        <w:spacing w:after="0" w:line="259" w:lineRule="auto"/>
        <w:ind w:left="244" w:right="0" w:firstLine="0"/>
        <w:rPr>
          <w:rFonts w:asciiTheme="majorBidi" w:hAnsiTheme="majorBidi" w:cstheme="majorBidi"/>
          <w:bCs/>
          <w:color w:val="0070C0"/>
          <w:sz w:val="22"/>
        </w:rPr>
      </w:pPr>
    </w:p>
    <w:p w14:paraId="1099B734" w14:textId="77777777" w:rsidR="002A095B" w:rsidRPr="002A095B" w:rsidRDefault="00E104A6" w:rsidP="00F24F1F">
      <w:pPr>
        <w:spacing w:after="0" w:line="259" w:lineRule="auto"/>
        <w:ind w:left="244" w:right="0" w:firstLine="0"/>
        <w:rPr>
          <w:rFonts w:asciiTheme="majorBidi" w:hAnsiTheme="majorBidi" w:cstheme="majorBidi"/>
          <w:bCs/>
          <w:color w:val="auto"/>
          <w:sz w:val="22"/>
        </w:rPr>
      </w:pPr>
      <w:r w:rsidRPr="002A095B">
        <w:rPr>
          <w:rFonts w:asciiTheme="majorBidi" w:hAnsiTheme="majorBidi" w:cstheme="majorBidi"/>
          <w:bCs/>
          <w:color w:val="auto"/>
          <w:sz w:val="22"/>
        </w:rPr>
        <w:t>Chaque demande sera évaluée par un panel désigné par le HCDH. Sur la base des recommandations du panel, le Comité des subventions du HCDH aura le dernier mot quant à la décision de financement. Dans leur évaluation des candidatures, le panel tiendra compte, entre autres, des critères suivants :</w:t>
      </w:r>
    </w:p>
    <w:p w14:paraId="5C5B1403" w14:textId="0D4E5183" w:rsidR="00E104A6" w:rsidRPr="002A095B" w:rsidRDefault="00E104A6" w:rsidP="00F24F1F">
      <w:pPr>
        <w:spacing w:after="0" w:line="259" w:lineRule="auto"/>
        <w:ind w:left="244" w:right="0" w:firstLine="0"/>
        <w:rPr>
          <w:rFonts w:asciiTheme="majorBidi" w:hAnsiTheme="majorBidi" w:cstheme="majorBidi"/>
          <w:bCs/>
          <w:color w:val="auto"/>
          <w:sz w:val="22"/>
        </w:rPr>
      </w:pPr>
      <w:r w:rsidRPr="002A095B">
        <w:rPr>
          <w:rFonts w:asciiTheme="majorBidi" w:hAnsiTheme="majorBidi" w:cstheme="majorBidi"/>
          <w:bCs/>
          <w:color w:val="auto"/>
          <w:sz w:val="22"/>
        </w:rPr>
        <w:t xml:space="preserve"> </w:t>
      </w:r>
    </w:p>
    <w:p w14:paraId="2D1B932E" w14:textId="104251C7" w:rsidR="00E104A6" w:rsidRPr="002A095B" w:rsidRDefault="00E104A6" w:rsidP="00F24F1F">
      <w:pPr>
        <w:pStyle w:val="Paragraphedeliste"/>
        <w:numPr>
          <w:ilvl w:val="0"/>
          <w:numId w:val="30"/>
        </w:numPr>
        <w:spacing w:after="0" w:line="259" w:lineRule="auto"/>
        <w:ind w:right="0"/>
        <w:rPr>
          <w:rFonts w:asciiTheme="majorBidi" w:hAnsiTheme="majorBidi" w:cstheme="majorBidi"/>
          <w:bCs/>
          <w:color w:val="auto"/>
          <w:sz w:val="22"/>
        </w:rPr>
      </w:pPr>
      <w:r w:rsidRPr="002A095B">
        <w:rPr>
          <w:rFonts w:asciiTheme="majorBidi" w:hAnsiTheme="majorBidi" w:cstheme="majorBidi"/>
          <w:bCs/>
          <w:color w:val="auto"/>
          <w:sz w:val="22"/>
        </w:rPr>
        <w:t xml:space="preserve">La demande </w:t>
      </w:r>
      <w:proofErr w:type="spellStart"/>
      <w:r w:rsidRPr="002A095B">
        <w:rPr>
          <w:rFonts w:asciiTheme="majorBidi" w:hAnsiTheme="majorBidi" w:cstheme="majorBidi"/>
          <w:bCs/>
          <w:color w:val="auto"/>
          <w:sz w:val="22"/>
        </w:rPr>
        <w:t>suit-elle</w:t>
      </w:r>
      <w:proofErr w:type="spellEnd"/>
      <w:r w:rsidRPr="002A095B">
        <w:rPr>
          <w:rFonts w:asciiTheme="majorBidi" w:hAnsiTheme="majorBidi" w:cstheme="majorBidi"/>
          <w:bCs/>
          <w:color w:val="auto"/>
          <w:sz w:val="22"/>
        </w:rPr>
        <w:t xml:space="preserve"> toutes les instructions contenues au point précédent (« Contenu et format des demandes ») ? Dans le cas contraire, la demande ne fera pas l'objet d'une évaluation plus approfondie et ne recevra pas de financement. Il faut veiller notamment à la longueur de la proposition, aux signatures requises, à l’envoi des différents documents requises. </w:t>
      </w:r>
    </w:p>
    <w:p w14:paraId="5B47EB0D" w14:textId="4FA9A5B7" w:rsidR="002A095B" w:rsidRPr="002A095B" w:rsidRDefault="002A095B" w:rsidP="00F24F1F">
      <w:pPr>
        <w:pStyle w:val="Paragraphedeliste"/>
        <w:numPr>
          <w:ilvl w:val="0"/>
          <w:numId w:val="30"/>
        </w:numPr>
        <w:spacing w:after="0" w:line="259" w:lineRule="auto"/>
        <w:ind w:right="0"/>
        <w:rPr>
          <w:rFonts w:asciiTheme="majorBidi" w:hAnsiTheme="majorBidi" w:cstheme="majorBidi"/>
          <w:bCs/>
          <w:color w:val="auto"/>
          <w:sz w:val="22"/>
        </w:rPr>
      </w:pPr>
      <w:r w:rsidRPr="002A095B">
        <w:rPr>
          <w:rFonts w:asciiTheme="majorBidi" w:hAnsiTheme="majorBidi" w:cstheme="majorBidi"/>
          <w:bCs/>
          <w:color w:val="auto"/>
          <w:sz w:val="22"/>
        </w:rPr>
        <w:t>Le projet est-il clairement décrit, le problème est-il bien défini et les objectifs clairement énoncés ?</w:t>
      </w:r>
    </w:p>
    <w:p w14:paraId="3A472A95" w14:textId="47DBB915" w:rsidR="002A095B" w:rsidRPr="002A095B" w:rsidRDefault="002A095B" w:rsidP="00F24F1F">
      <w:pPr>
        <w:pStyle w:val="Paragraphedeliste"/>
        <w:numPr>
          <w:ilvl w:val="0"/>
          <w:numId w:val="30"/>
        </w:numPr>
        <w:spacing w:after="0" w:line="259" w:lineRule="auto"/>
        <w:ind w:right="0"/>
        <w:rPr>
          <w:rFonts w:asciiTheme="majorBidi" w:hAnsiTheme="majorBidi" w:cstheme="majorBidi"/>
          <w:bCs/>
          <w:color w:val="auto"/>
          <w:sz w:val="22"/>
        </w:rPr>
      </w:pPr>
      <w:r w:rsidRPr="002A095B">
        <w:rPr>
          <w:rFonts w:asciiTheme="majorBidi" w:hAnsiTheme="majorBidi" w:cstheme="majorBidi"/>
          <w:bCs/>
          <w:color w:val="auto"/>
          <w:sz w:val="22"/>
        </w:rPr>
        <w:t>Les résultats, l'impact et les produits livrables sont-ils spécifiquement identifiés ?</w:t>
      </w:r>
    </w:p>
    <w:p w14:paraId="3E4DEC1A" w14:textId="77777777" w:rsidR="002A095B" w:rsidRPr="002A095B" w:rsidRDefault="002A095B" w:rsidP="00F24F1F">
      <w:pPr>
        <w:pStyle w:val="Paragraphedeliste"/>
        <w:numPr>
          <w:ilvl w:val="0"/>
          <w:numId w:val="30"/>
        </w:numPr>
        <w:spacing w:after="0" w:line="259" w:lineRule="auto"/>
        <w:ind w:right="0"/>
        <w:rPr>
          <w:rFonts w:asciiTheme="majorBidi" w:hAnsiTheme="majorBidi" w:cstheme="majorBidi"/>
          <w:bCs/>
          <w:color w:val="auto"/>
          <w:sz w:val="22"/>
        </w:rPr>
      </w:pPr>
      <w:r w:rsidRPr="002A095B">
        <w:rPr>
          <w:rFonts w:asciiTheme="majorBidi" w:hAnsiTheme="majorBidi" w:cstheme="majorBidi"/>
          <w:bCs/>
          <w:color w:val="auto"/>
          <w:sz w:val="22"/>
        </w:rPr>
        <w:t>Le projet est-il conçu de sorte qu’il puisse être mené à terme dans un délai de 12 mois ?</w:t>
      </w:r>
    </w:p>
    <w:p w14:paraId="36BEA013" w14:textId="5EFC51FC" w:rsidR="00E104A6" w:rsidRPr="002A095B" w:rsidRDefault="00E104A6" w:rsidP="00F24F1F">
      <w:pPr>
        <w:pStyle w:val="Paragraphedeliste"/>
        <w:numPr>
          <w:ilvl w:val="0"/>
          <w:numId w:val="30"/>
        </w:numPr>
        <w:spacing w:after="0" w:line="259" w:lineRule="auto"/>
        <w:ind w:right="0"/>
        <w:rPr>
          <w:rFonts w:asciiTheme="majorBidi" w:hAnsiTheme="majorBidi" w:cstheme="majorBidi"/>
          <w:bCs/>
          <w:color w:val="auto"/>
          <w:sz w:val="22"/>
        </w:rPr>
      </w:pPr>
      <w:r w:rsidRPr="002A095B">
        <w:rPr>
          <w:rFonts w:asciiTheme="majorBidi" w:hAnsiTheme="majorBidi" w:cstheme="majorBidi"/>
          <w:bCs/>
          <w:color w:val="auto"/>
          <w:sz w:val="22"/>
        </w:rPr>
        <w:t xml:space="preserve">L’ensemble des documents envoyés suffit-il à évaluer adéquatement la proposition ? </w:t>
      </w:r>
    </w:p>
    <w:p w14:paraId="4A0FC089" w14:textId="2336E276" w:rsidR="00E104A6" w:rsidRPr="002A095B" w:rsidRDefault="00E104A6" w:rsidP="00F24F1F">
      <w:pPr>
        <w:pStyle w:val="Paragraphedeliste"/>
        <w:numPr>
          <w:ilvl w:val="0"/>
          <w:numId w:val="30"/>
        </w:numPr>
        <w:spacing w:after="0" w:line="259" w:lineRule="auto"/>
        <w:ind w:right="0"/>
        <w:rPr>
          <w:rFonts w:asciiTheme="majorBidi" w:hAnsiTheme="majorBidi" w:cstheme="majorBidi"/>
          <w:bCs/>
          <w:color w:val="auto"/>
          <w:sz w:val="22"/>
        </w:rPr>
      </w:pPr>
      <w:r w:rsidRPr="002A095B">
        <w:rPr>
          <w:rFonts w:asciiTheme="majorBidi" w:hAnsiTheme="majorBidi" w:cstheme="majorBidi"/>
          <w:bCs/>
          <w:color w:val="auto"/>
          <w:sz w:val="22"/>
        </w:rPr>
        <w:t xml:space="preserve">Les ressources et l'expertise disponibles dans l’organisation candidate sont-elles suffisantes </w:t>
      </w:r>
      <w:bookmarkStart w:id="0" w:name="_Hlk130739786"/>
      <w:r w:rsidRPr="002A095B">
        <w:rPr>
          <w:rFonts w:asciiTheme="majorBidi" w:hAnsiTheme="majorBidi" w:cstheme="majorBidi"/>
          <w:bCs/>
          <w:color w:val="auto"/>
          <w:sz w:val="22"/>
        </w:rPr>
        <w:t>?</w:t>
      </w:r>
    </w:p>
    <w:bookmarkEnd w:id="0"/>
    <w:p w14:paraId="595A141F" w14:textId="30A96EAA" w:rsidR="00E104A6" w:rsidRPr="002A095B" w:rsidRDefault="00E104A6" w:rsidP="00F24F1F">
      <w:pPr>
        <w:pStyle w:val="Paragraphedeliste"/>
        <w:numPr>
          <w:ilvl w:val="0"/>
          <w:numId w:val="30"/>
        </w:numPr>
        <w:rPr>
          <w:rFonts w:asciiTheme="majorBidi" w:hAnsiTheme="majorBidi" w:cstheme="majorBidi"/>
          <w:bCs/>
          <w:color w:val="auto"/>
          <w:sz w:val="22"/>
        </w:rPr>
      </w:pPr>
      <w:r w:rsidRPr="002A095B">
        <w:rPr>
          <w:rFonts w:asciiTheme="majorBidi" w:hAnsiTheme="majorBidi" w:cstheme="majorBidi"/>
          <w:bCs/>
          <w:color w:val="auto"/>
          <w:sz w:val="22"/>
        </w:rPr>
        <w:t>Les organisations ont-elles la capacité de mettre en œuvre le projet dans le contexte</w:t>
      </w:r>
      <w:r w:rsidR="002A095B" w:rsidRPr="002A095B">
        <w:rPr>
          <w:rFonts w:asciiTheme="majorBidi" w:hAnsiTheme="majorBidi" w:cstheme="majorBidi"/>
          <w:bCs/>
          <w:color w:val="auto"/>
          <w:sz w:val="22"/>
        </w:rPr>
        <w:t xml:space="preserve"> actuel</w:t>
      </w:r>
      <w:r w:rsidRPr="002A095B">
        <w:rPr>
          <w:rFonts w:asciiTheme="majorBidi" w:hAnsiTheme="majorBidi" w:cstheme="majorBidi"/>
          <w:bCs/>
          <w:color w:val="auto"/>
          <w:sz w:val="22"/>
        </w:rPr>
        <w:t xml:space="preserve"> </w:t>
      </w:r>
      <w:r w:rsidR="002A095B" w:rsidRPr="002A095B">
        <w:rPr>
          <w:rFonts w:asciiTheme="majorBidi" w:hAnsiTheme="majorBidi" w:cstheme="majorBidi"/>
          <w:bCs/>
          <w:color w:val="auto"/>
          <w:sz w:val="22"/>
        </w:rPr>
        <w:t>?</w:t>
      </w:r>
    </w:p>
    <w:p w14:paraId="4F3CD3D5" w14:textId="77777777" w:rsidR="002A095B" w:rsidRPr="002A095B" w:rsidRDefault="002A095B" w:rsidP="002A095B">
      <w:pPr>
        <w:spacing w:after="0" w:line="259" w:lineRule="auto"/>
        <w:ind w:right="0"/>
        <w:rPr>
          <w:rFonts w:asciiTheme="majorBidi" w:hAnsiTheme="majorBidi" w:cstheme="majorBidi"/>
          <w:bCs/>
          <w:color w:val="0070C0"/>
          <w:sz w:val="22"/>
        </w:rPr>
      </w:pPr>
    </w:p>
    <w:p w14:paraId="6FC2C69F" w14:textId="77777777" w:rsidR="00E104A6" w:rsidRPr="00727932" w:rsidRDefault="00E104A6" w:rsidP="00E104A6">
      <w:pPr>
        <w:spacing w:after="0" w:line="259" w:lineRule="auto"/>
        <w:ind w:left="244" w:right="0" w:firstLine="0"/>
        <w:rPr>
          <w:rFonts w:asciiTheme="majorBidi" w:hAnsiTheme="majorBidi" w:cstheme="majorBidi"/>
          <w:b/>
          <w:color w:val="0070C0"/>
          <w:sz w:val="22"/>
        </w:rPr>
      </w:pPr>
      <w:r w:rsidRPr="00727932">
        <w:rPr>
          <w:rFonts w:asciiTheme="majorBidi" w:hAnsiTheme="majorBidi" w:cstheme="majorBidi"/>
          <w:b/>
          <w:color w:val="0070C0"/>
          <w:sz w:val="22"/>
        </w:rPr>
        <w:t>9.</w:t>
      </w:r>
      <w:r w:rsidRPr="00727932">
        <w:rPr>
          <w:rFonts w:asciiTheme="majorBidi" w:hAnsiTheme="majorBidi" w:cstheme="majorBidi"/>
          <w:b/>
          <w:color w:val="0070C0"/>
          <w:sz w:val="22"/>
        </w:rPr>
        <w:tab/>
        <w:t xml:space="preserve">Envoi des candidatures  </w:t>
      </w:r>
    </w:p>
    <w:p w14:paraId="2530B411" w14:textId="77777777" w:rsidR="002A095B" w:rsidRPr="002A095B" w:rsidRDefault="002A095B" w:rsidP="00E104A6">
      <w:pPr>
        <w:spacing w:after="0" w:line="259" w:lineRule="auto"/>
        <w:ind w:left="244" w:right="0" w:firstLine="0"/>
        <w:rPr>
          <w:rFonts w:asciiTheme="majorBidi" w:hAnsiTheme="majorBidi" w:cstheme="majorBidi"/>
          <w:bCs/>
          <w:color w:val="0070C0"/>
          <w:sz w:val="22"/>
        </w:rPr>
      </w:pPr>
    </w:p>
    <w:p w14:paraId="1E4AA80B" w14:textId="23F2659B" w:rsidR="00E104A6" w:rsidRPr="002A095B" w:rsidRDefault="00E104A6" w:rsidP="00E104A6">
      <w:pPr>
        <w:spacing w:after="0" w:line="259" w:lineRule="auto"/>
        <w:ind w:left="244" w:right="0" w:firstLine="0"/>
        <w:rPr>
          <w:rFonts w:asciiTheme="majorBidi" w:hAnsiTheme="majorBidi" w:cstheme="majorBidi"/>
          <w:bCs/>
          <w:color w:val="auto"/>
          <w:sz w:val="22"/>
        </w:rPr>
      </w:pPr>
      <w:r w:rsidRPr="002A095B">
        <w:rPr>
          <w:rFonts w:asciiTheme="majorBidi" w:hAnsiTheme="majorBidi" w:cstheme="majorBidi"/>
          <w:bCs/>
          <w:color w:val="auto"/>
          <w:sz w:val="22"/>
        </w:rPr>
        <w:t xml:space="preserve">Seules les demandes d’organisations remplissant les critères 1 à 4 d’éligibilité (voir point 6) et dont le contenu et le format sont adéquats (voir point 7) seront considérées. </w:t>
      </w:r>
    </w:p>
    <w:p w14:paraId="05407F87" w14:textId="058FDC56" w:rsidR="002A095B" w:rsidRDefault="00E104A6" w:rsidP="00E104A6">
      <w:pPr>
        <w:spacing w:after="0" w:line="259" w:lineRule="auto"/>
        <w:ind w:left="244" w:right="0" w:firstLine="0"/>
        <w:rPr>
          <w:rFonts w:asciiTheme="majorBidi" w:hAnsiTheme="majorBidi" w:cstheme="majorBidi"/>
          <w:bCs/>
          <w:color w:val="auto"/>
          <w:sz w:val="22"/>
        </w:rPr>
      </w:pPr>
      <w:r w:rsidRPr="002A095B">
        <w:rPr>
          <w:rFonts w:asciiTheme="majorBidi" w:hAnsiTheme="majorBidi" w:cstheme="majorBidi"/>
          <w:bCs/>
          <w:color w:val="auto"/>
          <w:sz w:val="22"/>
        </w:rPr>
        <w:t xml:space="preserve"> </w:t>
      </w:r>
    </w:p>
    <w:p w14:paraId="7B047348" w14:textId="74C77927" w:rsidR="00D44061" w:rsidRDefault="00D44061" w:rsidP="00E104A6">
      <w:pPr>
        <w:spacing w:after="0" w:line="259" w:lineRule="auto"/>
        <w:ind w:left="244" w:right="0" w:firstLine="0"/>
        <w:rPr>
          <w:rFonts w:asciiTheme="majorBidi" w:hAnsiTheme="majorBidi" w:cstheme="majorBidi"/>
          <w:bCs/>
          <w:color w:val="auto"/>
          <w:sz w:val="22"/>
        </w:rPr>
      </w:pPr>
    </w:p>
    <w:p w14:paraId="237FD1DE" w14:textId="79A2FF7F" w:rsidR="00D44061" w:rsidRDefault="00D44061" w:rsidP="00E104A6">
      <w:pPr>
        <w:spacing w:after="0" w:line="259" w:lineRule="auto"/>
        <w:ind w:left="244" w:right="0" w:firstLine="0"/>
        <w:rPr>
          <w:rFonts w:asciiTheme="majorBidi" w:hAnsiTheme="majorBidi" w:cstheme="majorBidi"/>
          <w:bCs/>
          <w:color w:val="auto"/>
          <w:sz w:val="22"/>
        </w:rPr>
      </w:pPr>
    </w:p>
    <w:p w14:paraId="7D30A0C5" w14:textId="77777777" w:rsidR="00D44061" w:rsidRPr="002A095B" w:rsidRDefault="00D44061" w:rsidP="00E104A6">
      <w:pPr>
        <w:spacing w:after="0" w:line="259" w:lineRule="auto"/>
        <w:ind w:left="244" w:right="0" w:firstLine="0"/>
        <w:rPr>
          <w:rFonts w:asciiTheme="majorBidi" w:hAnsiTheme="majorBidi" w:cstheme="majorBidi"/>
          <w:bCs/>
          <w:color w:val="auto"/>
          <w:sz w:val="22"/>
        </w:rPr>
      </w:pPr>
    </w:p>
    <w:p w14:paraId="311D5F3A" w14:textId="63FB0F10" w:rsidR="00E104A6" w:rsidRPr="002A095B" w:rsidRDefault="00E104A6" w:rsidP="00474004">
      <w:pPr>
        <w:spacing w:after="0" w:line="259" w:lineRule="auto"/>
        <w:ind w:left="244" w:right="0" w:firstLine="0"/>
        <w:rPr>
          <w:rFonts w:asciiTheme="majorBidi" w:hAnsiTheme="majorBidi" w:cstheme="majorBidi"/>
          <w:bCs/>
          <w:color w:val="auto"/>
          <w:sz w:val="22"/>
        </w:rPr>
      </w:pPr>
      <w:r w:rsidRPr="002A095B">
        <w:rPr>
          <w:rFonts w:asciiTheme="majorBidi" w:hAnsiTheme="majorBidi" w:cstheme="majorBidi"/>
          <w:bCs/>
          <w:color w:val="auto"/>
          <w:sz w:val="22"/>
        </w:rPr>
        <w:t xml:space="preserve">Les demandes doivent être envoyées par </w:t>
      </w:r>
      <w:proofErr w:type="gramStart"/>
      <w:r w:rsidRPr="002A095B">
        <w:rPr>
          <w:rFonts w:asciiTheme="majorBidi" w:hAnsiTheme="majorBidi" w:cstheme="majorBidi"/>
          <w:bCs/>
          <w:color w:val="auto"/>
          <w:sz w:val="22"/>
        </w:rPr>
        <w:t>email</w:t>
      </w:r>
      <w:proofErr w:type="gramEnd"/>
      <w:r w:rsidRPr="002A095B">
        <w:rPr>
          <w:rFonts w:asciiTheme="majorBidi" w:hAnsiTheme="majorBidi" w:cstheme="majorBidi"/>
          <w:bCs/>
          <w:color w:val="auto"/>
          <w:sz w:val="22"/>
        </w:rPr>
        <w:t xml:space="preserve"> aux adresses suivantes : </w:t>
      </w:r>
      <w:hyperlink r:id="rId8" w:history="1">
        <w:r w:rsidR="00474004" w:rsidRPr="00254971">
          <w:rPr>
            <w:rStyle w:val="Lienhypertexte"/>
            <w:rFonts w:asciiTheme="majorBidi" w:hAnsiTheme="majorBidi" w:cstheme="majorBidi"/>
            <w:bCs/>
            <w:sz w:val="22"/>
          </w:rPr>
          <w:t>senan.padonoumowakoumgar@un.org</w:t>
        </w:r>
      </w:hyperlink>
      <w:r w:rsidR="00474004">
        <w:rPr>
          <w:rFonts w:asciiTheme="majorBidi" w:hAnsiTheme="majorBidi" w:cstheme="majorBidi"/>
          <w:bCs/>
          <w:color w:val="auto"/>
          <w:sz w:val="22"/>
        </w:rPr>
        <w:t xml:space="preserve"> </w:t>
      </w:r>
      <w:r w:rsidRPr="00474004">
        <w:rPr>
          <w:rFonts w:asciiTheme="majorBidi" w:hAnsiTheme="majorBidi" w:cstheme="majorBidi"/>
          <w:bCs/>
          <w:color w:val="auto"/>
          <w:sz w:val="22"/>
        </w:rPr>
        <w:t xml:space="preserve">ET </w:t>
      </w:r>
      <w:hyperlink r:id="rId9" w:history="1">
        <w:r w:rsidR="00474004" w:rsidRPr="00254971">
          <w:rPr>
            <w:rStyle w:val="Lienhypertexte"/>
            <w:rFonts w:asciiTheme="majorBidi" w:hAnsiTheme="majorBidi" w:cstheme="majorBidi"/>
            <w:bCs/>
            <w:sz w:val="22"/>
          </w:rPr>
          <w:t>abdoulaye.seye@un.org</w:t>
        </w:r>
      </w:hyperlink>
      <w:r w:rsidR="00474004">
        <w:rPr>
          <w:rFonts w:asciiTheme="majorBidi" w:hAnsiTheme="majorBidi" w:cstheme="majorBidi"/>
          <w:bCs/>
          <w:color w:val="auto"/>
          <w:sz w:val="22"/>
        </w:rPr>
        <w:t xml:space="preserve"> </w:t>
      </w:r>
      <w:r w:rsidR="00474004" w:rsidRPr="00474004">
        <w:rPr>
          <w:rFonts w:asciiTheme="majorBidi" w:hAnsiTheme="majorBidi" w:cstheme="majorBidi"/>
          <w:b/>
          <w:color w:val="auto"/>
          <w:sz w:val="22"/>
        </w:rPr>
        <w:t>au plus tard le 28 avril 2023 à 23h59</w:t>
      </w:r>
      <w:r w:rsidR="00474004" w:rsidRPr="00474004">
        <w:rPr>
          <w:rFonts w:asciiTheme="majorBidi" w:hAnsiTheme="majorBidi" w:cstheme="majorBidi"/>
          <w:bCs/>
          <w:color w:val="auto"/>
          <w:sz w:val="22"/>
        </w:rPr>
        <w:t>. Passé ce délai, les demandes ne seront plus considérées. Il est donc conseillé de prévoir suffisamment de temps pour préparer la demande avant la date limite. Les décisions seront rendues en temps voulu après validation par le Comité des subventions du HCDH</w:t>
      </w:r>
      <w:r w:rsidR="00474004">
        <w:rPr>
          <w:rFonts w:asciiTheme="majorBidi" w:hAnsiTheme="majorBidi" w:cstheme="majorBidi"/>
          <w:bCs/>
          <w:color w:val="auto"/>
          <w:sz w:val="22"/>
        </w:rPr>
        <w:t>.</w:t>
      </w:r>
      <w:r w:rsidRPr="002A095B">
        <w:rPr>
          <w:rFonts w:asciiTheme="majorBidi" w:hAnsiTheme="majorBidi" w:cstheme="majorBidi"/>
          <w:bCs/>
          <w:color w:val="auto"/>
          <w:sz w:val="22"/>
        </w:rPr>
        <w:t xml:space="preserve"> </w:t>
      </w:r>
    </w:p>
    <w:p w14:paraId="4EDAF482" w14:textId="77777777" w:rsidR="00E104A6" w:rsidRPr="002A095B" w:rsidRDefault="00E104A6" w:rsidP="00E104A6">
      <w:pPr>
        <w:spacing w:after="0" w:line="259" w:lineRule="auto"/>
        <w:ind w:left="244" w:right="0" w:firstLine="0"/>
        <w:rPr>
          <w:rFonts w:asciiTheme="majorBidi" w:hAnsiTheme="majorBidi" w:cstheme="majorBidi"/>
          <w:bCs/>
          <w:color w:val="auto"/>
          <w:sz w:val="22"/>
        </w:rPr>
      </w:pPr>
      <w:r w:rsidRPr="002A095B">
        <w:rPr>
          <w:rFonts w:asciiTheme="majorBidi" w:hAnsiTheme="majorBidi" w:cstheme="majorBidi"/>
          <w:bCs/>
          <w:color w:val="auto"/>
          <w:sz w:val="22"/>
        </w:rPr>
        <w:t xml:space="preserve"> </w:t>
      </w:r>
    </w:p>
    <w:p w14:paraId="5365D6B3" w14:textId="40E30128" w:rsidR="00E104A6" w:rsidRPr="002A095B" w:rsidRDefault="00E104A6" w:rsidP="00E104A6">
      <w:pPr>
        <w:spacing w:after="0" w:line="259" w:lineRule="auto"/>
        <w:ind w:left="244" w:right="0" w:firstLine="0"/>
        <w:rPr>
          <w:rFonts w:asciiTheme="majorBidi" w:hAnsiTheme="majorBidi" w:cstheme="majorBidi"/>
          <w:bCs/>
          <w:color w:val="auto"/>
          <w:sz w:val="24"/>
          <w:szCs w:val="24"/>
        </w:rPr>
      </w:pPr>
      <w:r w:rsidRPr="002A095B">
        <w:rPr>
          <w:rFonts w:asciiTheme="majorBidi" w:hAnsiTheme="majorBidi" w:cstheme="majorBidi"/>
          <w:bCs/>
          <w:color w:val="auto"/>
          <w:sz w:val="22"/>
        </w:rPr>
        <w:t xml:space="preserve">Pour toute question ou précision, veuillez-vous adresser aux adresses emails susmentionnées </w:t>
      </w:r>
      <w:r w:rsidRPr="00474004">
        <w:rPr>
          <w:rFonts w:asciiTheme="majorBidi" w:hAnsiTheme="majorBidi" w:cstheme="majorBidi"/>
          <w:bCs/>
          <w:color w:val="auto"/>
          <w:sz w:val="22"/>
        </w:rPr>
        <w:t>avant le 21 avril 2023.</w:t>
      </w:r>
    </w:p>
    <w:p w14:paraId="32A4DAB5" w14:textId="77777777" w:rsidR="00E104A6" w:rsidRDefault="00E104A6" w:rsidP="00156D0A">
      <w:pPr>
        <w:spacing w:after="0" w:line="259" w:lineRule="auto"/>
        <w:ind w:left="244" w:right="0" w:firstLine="0"/>
        <w:jc w:val="center"/>
        <w:rPr>
          <w:rFonts w:asciiTheme="majorBidi" w:hAnsiTheme="majorBidi" w:cstheme="majorBidi"/>
          <w:b/>
          <w:color w:val="0070C0"/>
          <w:sz w:val="24"/>
          <w:szCs w:val="24"/>
        </w:rPr>
      </w:pPr>
    </w:p>
    <w:p w14:paraId="0AAD6D3C" w14:textId="3A44513E" w:rsidR="000D5C26" w:rsidRDefault="000D5C26" w:rsidP="00156D0A">
      <w:pPr>
        <w:spacing w:after="0" w:line="259" w:lineRule="auto"/>
        <w:ind w:left="244" w:right="0" w:firstLine="0"/>
        <w:jc w:val="center"/>
        <w:rPr>
          <w:rFonts w:asciiTheme="majorBidi" w:hAnsiTheme="majorBidi" w:cstheme="majorBidi"/>
          <w:b/>
          <w:color w:val="0070C0"/>
          <w:sz w:val="24"/>
          <w:szCs w:val="24"/>
        </w:rPr>
      </w:pPr>
    </w:p>
    <w:p w14:paraId="69ED8512" w14:textId="581703AA" w:rsidR="000D5C26" w:rsidRDefault="000D5C26" w:rsidP="00156D0A">
      <w:pPr>
        <w:spacing w:after="0" w:line="259" w:lineRule="auto"/>
        <w:ind w:left="244" w:right="0" w:firstLine="0"/>
        <w:jc w:val="center"/>
        <w:rPr>
          <w:rFonts w:asciiTheme="majorBidi" w:hAnsiTheme="majorBidi" w:cstheme="majorBidi"/>
          <w:b/>
          <w:color w:val="0070C0"/>
          <w:sz w:val="24"/>
          <w:szCs w:val="24"/>
        </w:rPr>
      </w:pPr>
    </w:p>
    <w:p w14:paraId="05F481D4" w14:textId="1025592B" w:rsidR="000D5C26" w:rsidRDefault="000D5C26" w:rsidP="00156D0A">
      <w:pPr>
        <w:spacing w:after="0" w:line="259" w:lineRule="auto"/>
        <w:ind w:left="244" w:right="0" w:firstLine="0"/>
        <w:jc w:val="center"/>
        <w:rPr>
          <w:rFonts w:asciiTheme="majorBidi" w:hAnsiTheme="majorBidi" w:cstheme="majorBidi"/>
          <w:b/>
          <w:color w:val="0070C0"/>
          <w:sz w:val="24"/>
          <w:szCs w:val="24"/>
        </w:rPr>
      </w:pPr>
    </w:p>
    <w:p w14:paraId="7CF560E7" w14:textId="77777777" w:rsidR="00DF54F6" w:rsidRDefault="00DF54F6">
      <w:pPr>
        <w:spacing w:after="0" w:line="259" w:lineRule="auto"/>
        <w:ind w:left="-1196" w:right="10462" w:firstLine="0"/>
        <w:jc w:val="left"/>
      </w:pPr>
    </w:p>
    <w:sectPr w:rsidR="00DF54F6">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899" w:h="16841"/>
      <w:pgMar w:top="1644" w:right="1438" w:bottom="1441" w:left="1196" w:header="737" w:footer="4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AA8B7" w14:textId="77777777" w:rsidR="002A0A4C" w:rsidRDefault="002A0A4C">
      <w:pPr>
        <w:spacing w:after="0" w:line="240" w:lineRule="auto"/>
      </w:pPr>
      <w:r>
        <w:separator/>
      </w:r>
    </w:p>
  </w:endnote>
  <w:endnote w:type="continuationSeparator" w:id="0">
    <w:p w14:paraId="73600FE1" w14:textId="77777777" w:rsidR="002A0A4C" w:rsidRDefault="002A0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F6AB4" w14:textId="77777777" w:rsidR="00565FE5" w:rsidRDefault="00000000">
    <w:pPr>
      <w:spacing w:after="0" w:line="259" w:lineRule="auto"/>
      <w:ind w:left="-1196" w:right="3497" w:firstLine="0"/>
      <w:jc w:val="left"/>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774C552F" wp14:editId="466CD7E5">
              <wp:simplePos x="0" y="0"/>
              <wp:positionH relativeFrom="page">
                <wp:posOffset>3140075</wp:posOffset>
              </wp:positionH>
              <wp:positionV relativeFrom="page">
                <wp:posOffset>10069512</wp:posOffset>
              </wp:positionV>
              <wp:extent cx="1282700" cy="347116"/>
              <wp:effectExtent l="0" t="0" r="0" b="0"/>
              <wp:wrapSquare wrapText="bothSides"/>
              <wp:docPr id="16922" name="Group 16922"/>
              <wp:cNvGraphicFramePr/>
              <a:graphic xmlns:a="http://schemas.openxmlformats.org/drawingml/2006/main">
                <a:graphicData uri="http://schemas.microsoft.com/office/word/2010/wordprocessingGroup">
                  <wpg:wgp>
                    <wpg:cNvGrpSpPr/>
                    <wpg:grpSpPr>
                      <a:xfrm>
                        <a:off x="0" y="0"/>
                        <a:ext cx="1282700" cy="347116"/>
                        <a:chOff x="0" y="0"/>
                        <a:chExt cx="1282700" cy="347116"/>
                      </a:xfrm>
                    </wpg:grpSpPr>
                    <wps:wsp>
                      <wps:cNvPr id="16928" name="Rectangle 16928"/>
                      <wps:cNvSpPr/>
                      <wps:spPr>
                        <a:xfrm>
                          <a:off x="524256" y="37655"/>
                          <a:ext cx="45808" cy="206453"/>
                        </a:xfrm>
                        <a:prstGeom prst="rect">
                          <a:avLst/>
                        </a:prstGeom>
                        <a:ln>
                          <a:noFill/>
                        </a:ln>
                      </wps:spPr>
                      <wps:txbx>
                        <w:txbxContent>
                          <w:p w14:paraId="7C4D2FAF" w14:textId="77777777" w:rsidR="00565FE5" w:rsidRDefault="00000000">
                            <w:pPr>
                              <w:spacing w:after="160" w:line="259" w:lineRule="auto"/>
                              <w:ind w:left="0" w:righ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16923" name="Shape 16923"/>
                      <wps:cNvSpPr/>
                      <wps:spPr>
                        <a:xfrm>
                          <a:off x="0" y="0"/>
                          <a:ext cx="1282700" cy="347116"/>
                        </a:xfrm>
                        <a:custGeom>
                          <a:avLst/>
                          <a:gdLst/>
                          <a:ahLst/>
                          <a:cxnLst/>
                          <a:rect l="0" t="0" r="0" b="0"/>
                          <a:pathLst>
                            <a:path w="1282700" h="347116">
                              <a:moveTo>
                                <a:pt x="0" y="0"/>
                              </a:moveTo>
                              <a:cubicBezTo>
                                <a:pt x="160401" y="21475"/>
                                <a:pt x="320675" y="34886"/>
                                <a:pt x="481076" y="40259"/>
                              </a:cubicBezTo>
                              <a:lnTo>
                                <a:pt x="320675" y="75146"/>
                              </a:lnTo>
                              <a:cubicBezTo>
                                <a:pt x="534416" y="89459"/>
                                <a:pt x="748284" y="89459"/>
                                <a:pt x="962025" y="75146"/>
                              </a:cubicBezTo>
                              <a:lnTo>
                                <a:pt x="801751" y="40259"/>
                              </a:lnTo>
                              <a:cubicBezTo>
                                <a:pt x="962025" y="34886"/>
                                <a:pt x="1122426" y="21475"/>
                                <a:pt x="1282700" y="0"/>
                              </a:cubicBezTo>
                              <a:lnTo>
                                <a:pt x="1122426" y="147612"/>
                              </a:lnTo>
                              <a:lnTo>
                                <a:pt x="1282700" y="257645"/>
                              </a:lnTo>
                              <a:cubicBezTo>
                                <a:pt x="1175766" y="271970"/>
                                <a:pt x="1068959" y="282701"/>
                                <a:pt x="962025" y="289852"/>
                              </a:cubicBezTo>
                              <a:lnTo>
                                <a:pt x="962025" y="332803"/>
                              </a:lnTo>
                              <a:cubicBezTo>
                                <a:pt x="748284" y="347116"/>
                                <a:pt x="534416" y="347116"/>
                                <a:pt x="320675" y="332803"/>
                              </a:cubicBezTo>
                              <a:lnTo>
                                <a:pt x="320675" y="289852"/>
                              </a:lnTo>
                              <a:cubicBezTo>
                                <a:pt x="213741" y="282701"/>
                                <a:pt x="106934" y="271970"/>
                                <a:pt x="0" y="257645"/>
                              </a:cubicBezTo>
                              <a:lnTo>
                                <a:pt x="160401" y="147612"/>
                              </a:lnTo>
                              <a:close/>
                            </a:path>
                          </a:pathLst>
                        </a:custGeom>
                        <a:ln w="9525" cap="flat">
                          <a:miter lim="127000"/>
                        </a:ln>
                      </wps:spPr>
                      <wps:style>
                        <a:lnRef idx="1">
                          <a:srgbClr val="71A0DC"/>
                        </a:lnRef>
                        <a:fillRef idx="0">
                          <a:srgbClr val="000000">
                            <a:alpha val="0"/>
                          </a:srgbClr>
                        </a:fillRef>
                        <a:effectRef idx="0">
                          <a:scrgbClr r="0" g="0" b="0"/>
                        </a:effectRef>
                        <a:fontRef idx="none"/>
                      </wps:style>
                      <wps:bodyPr/>
                    </wps:wsp>
                    <wps:wsp>
                      <wps:cNvPr id="16924" name="Shape 16924"/>
                      <wps:cNvSpPr/>
                      <wps:spPr>
                        <a:xfrm>
                          <a:off x="320675" y="75146"/>
                          <a:ext cx="0" cy="214706"/>
                        </a:xfrm>
                        <a:custGeom>
                          <a:avLst/>
                          <a:gdLst/>
                          <a:ahLst/>
                          <a:cxnLst/>
                          <a:rect l="0" t="0" r="0" b="0"/>
                          <a:pathLst>
                            <a:path h="214706">
                              <a:moveTo>
                                <a:pt x="0" y="214706"/>
                              </a:moveTo>
                              <a:lnTo>
                                <a:pt x="0" y="0"/>
                              </a:lnTo>
                            </a:path>
                          </a:pathLst>
                        </a:custGeom>
                        <a:ln w="9525" cap="flat">
                          <a:miter lim="127000"/>
                        </a:ln>
                      </wps:spPr>
                      <wps:style>
                        <a:lnRef idx="1">
                          <a:srgbClr val="71A0DC"/>
                        </a:lnRef>
                        <a:fillRef idx="0">
                          <a:srgbClr val="000000">
                            <a:alpha val="0"/>
                          </a:srgbClr>
                        </a:fillRef>
                        <a:effectRef idx="0">
                          <a:scrgbClr r="0" g="0" b="0"/>
                        </a:effectRef>
                        <a:fontRef idx="none"/>
                      </wps:style>
                      <wps:bodyPr/>
                    </wps:wsp>
                    <wps:wsp>
                      <wps:cNvPr id="16925" name="Shape 16925"/>
                      <wps:cNvSpPr/>
                      <wps:spPr>
                        <a:xfrm>
                          <a:off x="962025" y="75146"/>
                          <a:ext cx="0" cy="214706"/>
                        </a:xfrm>
                        <a:custGeom>
                          <a:avLst/>
                          <a:gdLst/>
                          <a:ahLst/>
                          <a:cxnLst/>
                          <a:rect l="0" t="0" r="0" b="0"/>
                          <a:pathLst>
                            <a:path h="214706">
                              <a:moveTo>
                                <a:pt x="0" y="0"/>
                              </a:moveTo>
                              <a:lnTo>
                                <a:pt x="0" y="214706"/>
                              </a:lnTo>
                            </a:path>
                          </a:pathLst>
                        </a:custGeom>
                        <a:ln w="9525" cap="flat">
                          <a:miter lim="127000"/>
                        </a:ln>
                      </wps:spPr>
                      <wps:style>
                        <a:lnRef idx="1">
                          <a:srgbClr val="71A0DC"/>
                        </a:lnRef>
                        <a:fillRef idx="0">
                          <a:srgbClr val="000000">
                            <a:alpha val="0"/>
                          </a:srgbClr>
                        </a:fillRef>
                        <a:effectRef idx="0">
                          <a:scrgbClr r="0" g="0" b="0"/>
                        </a:effectRef>
                        <a:fontRef idx="none"/>
                      </wps:style>
                      <wps:bodyPr/>
                    </wps:wsp>
                    <wps:wsp>
                      <wps:cNvPr id="16926" name="Shape 16926"/>
                      <wps:cNvSpPr/>
                      <wps:spPr>
                        <a:xfrm>
                          <a:off x="481076" y="40259"/>
                          <a:ext cx="0" cy="42938"/>
                        </a:xfrm>
                        <a:custGeom>
                          <a:avLst/>
                          <a:gdLst/>
                          <a:ahLst/>
                          <a:cxnLst/>
                          <a:rect l="0" t="0" r="0" b="0"/>
                          <a:pathLst>
                            <a:path h="42938">
                              <a:moveTo>
                                <a:pt x="0" y="0"/>
                              </a:moveTo>
                              <a:lnTo>
                                <a:pt x="0" y="42938"/>
                              </a:lnTo>
                            </a:path>
                          </a:pathLst>
                        </a:custGeom>
                        <a:ln w="9525" cap="flat">
                          <a:miter lim="127000"/>
                        </a:ln>
                      </wps:spPr>
                      <wps:style>
                        <a:lnRef idx="1">
                          <a:srgbClr val="71A0DC"/>
                        </a:lnRef>
                        <a:fillRef idx="0">
                          <a:srgbClr val="000000">
                            <a:alpha val="0"/>
                          </a:srgbClr>
                        </a:fillRef>
                        <a:effectRef idx="0">
                          <a:scrgbClr r="0" g="0" b="0"/>
                        </a:effectRef>
                        <a:fontRef idx="none"/>
                      </wps:style>
                      <wps:bodyPr/>
                    </wps:wsp>
                    <wps:wsp>
                      <wps:cNvPr id="16927" name="Shape 16927"/>
                      <wps:cNvSpPr/>
                      <wps:spPr>
                        <a:xfrm>
                          <a:off x="801751" y="40259"/>
                          <a:ext cx="0" cy="42938"/>
                        </a:xfrm>
                        <a:custGeom>
                          <a:avLst/>
                          <a:gdLst/>
                          <a:ahLst/>
                          <a:cxnLst/>
                          <a:rect l="0" t="0" r="0" b="0"/>
                          <a:pathLst>
                            <a:path h="42938">
                              <a:moveTo>
                                <a:pt x="0" y="42938"/>
                              </a:moveTo>
                              <a:lnTo>
                                <a:pt x="0" y="0"/>
                              </a:lnTo>
                            </a:path>
                          </a:pathLst>
                        </a:custGeom>
                        <a:ln w="9525" cap="flat">
                          <a:miter lim="127000"/>
                        </a:ln>
                      </wps:spPr>
                      <wps:style>
                        <a:lnRef idx="1">
                          <a:srgbClr val="71A0DC"/>
                        </a:lnRef>
                        <a:fillRef idx="0">
                          <a:srgbClr val="000000">
                            <a:alpha val="0"/>
                          </a:srgbClr>
                        </a:fillRef>
                        <a:effectRef idx="0">
                          <a:scrgbClr r="0" g="0" b="0"/>
                        </a:effectRef>
                        <a:fontRef idx="none"/>
                      </wps:style>
                      <wps:bodyPr/>
                    </wps:wsp>
                    <wps:wsp>
                      <wps:cNvPr id="16929" name="Rectangle 16929"/>
                      <wps:cNvSpPr/>
                      <wps:spPr>
                        <a:xfrm>
                          <a:off x="603758" y="168719"/>
                          <a:ext cx="102765" cy="206453"/>
                        </a:xfrm>
                        <a:prstGeom prst="rect">
                          <a:avLst/>
                        </a:prstGeom>
                        <a:ln>
                          <a:noFill/>
                        </a:ln>
                      </wps:spPr>
                      <wps:txbx>
                        <w:txbxContent>
                          <w:p w14:paraId="6F754850" w14:textId="77777777" w:rsidR="00565FE5" w:rsidRDefault="00000000">
                            <w:pPr>
                              <w:spacing w:after="160" w:line="259" w:lineRule="auto"/>
                              <w:ind w:left="0" w:right="0" w:firstLine="0"/>
                              <w:jc w:val="left"/>
                            </w:pPr>
                            <w:r>
                              <w:fldChar w:fldCharType="begin"/>
                            </w:r>
                            <w:r>
                              <w:instrText xml:space="preserve"> PAGE   \* MERGEFORMAT </w:instrText>
                            </w:r>
                            <w:r>
                              <w:fldChar w:fldCharType="separate"/>
                            </w:r>
                            <w:r>
                              <w:rPr>
                                <w:rFonts w:ascii="Calibri" w:eastAsia="Calibri" w:hAnsi="Calibri" w:cs="Calibri"/>
                                <w:color w:val="5B9BD5"/>
                                <w:sz w:val="24"/>
                              </w:rPr>
                              <w:t>1</w:t>
                            </w:r>
                            <w:r>
                              <w:rPr>
                                <w:rFonts w:ascii="Calibri" w:eastAsia="Calibri" w:hAnsi="Calibri" w:cs="Calibri"/>
                                <w:color w:val="5B9BD5"/>
                                <w:sz w:val="24"/>
                              </w:rPr>
                              <w:fldChar w:fldCharType="end"/>
                            </w:r>
                          </w:p>
                        </w:txbxContent>
                      </wps:txbx>
                      <wps:bodyPr horzOverflow="overflow" vert="horz" lIns="0" tIns="0" rIns="0" bIns="0" rtlCol="0">
                        <a:noAutofit/>
                      </wps:bodyPr>
                    </wps:wsp>
                    <wps:wsp>
                      <wps:cNvPr id="16930" name="Rectangle 16930"/>
                      <wps:cNvSpPr/>
                      <wps:spPr>
                        <a:xfrm>
                          <a:off x="681482" y="168719"/>
                          <a:ext cx="45808" cy="206453"/>
                        </a:xfrm>
                        <a:prstGeom prst="rect">
                          <a:avLst/>
                        </a:prstGeom>
                        <a:ln>
                          <a:noFill/>
                        </a:ln>
                      </wps:spPr>
                      <wps:txbx>
                        <w:txbxContent>
                          <w:p w14:paraId="7A38908C" w14:textId="77777777" w:rsidR="00565FE5" w:rsidRDefault="00000000">
                            <w:pPr>
                              <w:spacing w:after="160" w:line="259" w:lineRule="auto"/>
                              <w:ind w:left="0" w:right="0" w:firstLine="0"/>
                              <w:jc w:val="left"/>
                            </w:pPr>
                            <w:r>
                              <w:rPr>
                                <w:rFonts w:ascii="Calibri" w:eastAsia="Calibri" w:hAnsi="Calibri" w:cs="Calibri"/>
                                <w:color w:val="5B9BD5"/>
                                <w:sz w:val="24"/>
                              </w:rPr>
                              <w:t xml:space="preserve"> </w:t>
                            </w:r>
                          </w:p>
                        </w:txbxContent>
                      </wps:txbx>
                      <wps:bodyPr horzOverflow="overflow" vert="horz" lIns="0" tIns="0" rIns="0" bIns="0" rtlCol="0">
                        <a:noAutofit/>
                      </wps:bodyPr>
                    </wps:wsp>
                  </wpg:wgp>
                </a:graphicData>
              </a:graphic>
            </wp:anchor>
          </w:drawing>
        </mc:Choice>
        <mc:Fallback>
          <w:pict>
            <v:group w14:anchorId="774C552F" id="Group 16922" o:spid="_x0000_s1026" style="position:absolute;left:0;text-align:left;margin-left:247.25pt;margin-top:792.85pt;width:101pt;height:27.35pt;z-index:251670528;mso-position-horizontal-relative:page;mso-position-vertical-relative:page" coordsize="12827,3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">
              <v:rect id="Rectangle 16928" o:spid="_x0000_s1027" style="position:absolute;left:5242;top:37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" filled="f" stroked="f">
                <v:textbox inset="0,0,0,0">
                  <w:txbxContent>
                    <w:p w14:paraId="7C4D2FAF" w14:textId="77777777" w:rsidR="00565FE5" w:rsidRDefault="00000000">
                      <w:pPr>
                        <w:spacing w:after="160" w:line="259" w:lineRule="auto"/>
                        <w:ind w:left="0" w:right="0" w:firstLine="0"/>
                        <w:jc w:val="left"/>
                      </w:pPr>
                      <w:r>
                        <w:rPr>
                          <w:rFonts w:ascii="Calibri" w:eastAsia="Calibri" w:hAnsi="Calibri" w:cs="Calibri"/>
                          <w:sz w:val="24"/>
                        </w:rPr>
                        <w:t xml:space="preserve"> </w:t>
                      </w:r>
                    </w:p>
                  </w:txbxContent>
                </v:textbox>
              </v:rect>
              <v:shape id="Shape 16923" o:spid="_x0000_s1028" style="position:absolute;width:12827;height:3471;visibility:visible;mso-wrap-style:square;v-text-anchor:top" coordsize="1282700,34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" path="m,c160401,21475,320675,34886,481076,40259l320675,75146v213741,14313,427609,14313,641350,l801751,40259c962025,34886,1122426,21475,1282700,l1122426,147612r160274,110033c1175766,271970,1068959,282701,962025,289852r,42951c748284,347116,534416,347116,320675,332803r,-42951c213741,282701,106934,271970,,257645l160401,147612,,xe" filled="f" strokecolor="#71a0dc">
                <v:stroke miterlimit="83231f" joinstyle="miter"/>
                <v:path arrowok="t" textboxrect="0,0,1282700,347116"/>
              </v:shape>
              <v:shape id="Shape 16924" o:spid="_x0000_s1029" style="position:absolute;left:3206;top:751;width:0;height:2147;visibility:visible;mso-wrap-style:square;v-text-anchor:top" coordsize="0,21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" path="m,214706l,e" filled="f" strokecolor="#71a0dc">
                <v:stroke miterlimit="83231f" joinstyle="miter"/>
                <v:path arrowok="t" textboxrect="0,0,0,214706"/>
              </v:shape>
              <v:shape id="Shape 16925" o:spid="_x0000_s1030" style="position:absolute;left:9620;top:751;width:0;height:2147;visibility:visible;mso-wrap-style:square;v-text-anchor:top" coordsize="0,21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" path="m,l,214706e" filled="f" strokecolor="#71a0dc">
                <v:stroke miterlimit="83231f" joinstyle="miter"/>
                <v:path arrowok="t" textboxrect="0,0,0,214706"/>
              </v:shape>
              <v:shape id="Shape 16926" o:spid="_x0000_s1031" style="position:absolute;left:4810;top:402;width:0;height:429;visibility:visible;mso-wrap-style:square;v-text-anchor:top" coordsize="0,42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" path="m,l,42938e" filled="f" strokecolor="#71a0dc">
                <v:stroke miterlimit="83231f" joinstyle="miter"/>
                <v:path arrowok="t" textboxrect="0,0,0,42938"/>
              </v:shape>
              <v:shape id="Shape 16927" o:spid="_x0000_s1032" style="position:absolute;left:8017;top:402;width:0;height:429;visibility:visible;mso-wrap-style:square;v-text-anchor:top" coordsize="0,42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" path="m,42938l,e" filled="f" strokecolor="#71a0dc">
                <v:stroke miterlimit="83231f" joinstyle="miter"/>
                <v:path arrowok="t" textboxrect="0,0,0,42938"/>
              </v:shape>
              <v:rect id="Rectangle 16929" o:spid="_x0000_s1033" style="position:absolute;left:6037;top:1687;width:102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" filled="f" stroked="f">
                <v:textbox inset="0,0,0,0">
                  <w:txbxContent>
                    <w:p w14:paraId="6F754850" w14:textId="77777777" w:rsidR="00565FE5" w:rsidRDefault="00000000">
                      <w:pPr>
                        <w:spacing w:after="160" w:line="259" w:lineRule="auto"/>
                        <w:ind w:left="0" w:right="0" w:firstLine="0"/>
                        <w:jc w:val="left"/>
                      </w:pPr>
                      <w:r>
                        <w:fldChar w:fldCharType="begin"/>
                      </w:r>
                      <w:r>
                        <w:instrText xml:space="preserve"> PAGE   \* MERGEFORMAT </w:instrText>
                      </w:r>
                      <w:r>
                        <w:fldChar w:fldCharType="separate"/>
                      </w:r>
                      <w:r>
                        <w:rPr>
                          <w:rFonts w:ascii="Calibri" w:eastAsia="Calibri" w:hAnsi="Calibri" w:cs="Calibri"/>
                          <w:color w:val="5B9BD5"/>
                          <w:sz w:val="24"/>
                        </w:rPr>
                        <w:t>1</w:t>
                      </w:r>
                      <w:r>
                        <w:rPr>
                          <w:rFonts w:ascii="Calibri" w:eastAsia="Calibri" w:hAnsi="Calibri" w:cs="Calibri"/>
                          <w:color w:val="5B9BD5"/>
                          <w:sz w:val="24"/>
                        </w:rPr>
                        <w:fldChar w:fldCharType="end"/>
                      </w:r>
                    </w:p>
                  </w:txbxContent>
                </v:textbox>
              </v:rect>
              <v:rect id="Rectangle 16930" o:spid="_x0000_s1034" style="position:absolute;left:6814;top:168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" filled="f" stroked="f">
                <v:textbox inset="0,0,0,0">
                  <w:txbxContent>
                    <w:p w14:paraId="7A38908C" w14:textId="77777777" w:rsidR="00565FE5" w:rsidRDefault="00000000">
                      <w:pPr>
                        <w:spacing w:after="160" w:line="259" w:lineRule="auto"/>
                        <w:ind w:left="0" w:right="0" w:firstLine="0"/>
                        <w:jc w:val="left"/>
                      </w:pPr>
                      <w:r>
                        <w:rPr>
                          <w:rFonts w:ascii="Calibri" w:eastAsia="Calibri" w:hAnsi="Calibri" w:cs="Calibri"/>
                          <w:color w:val="5B9BD5"/>
                          <w:sz w:val="24"/>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665963"/>
      <w:docPartObj>
        <w:docPartGallery w:val="Page Numbers (Bottom of Page)"/>
        <w:docPartUnique/>
      </w:docPartObj>
    </w:sdtPr>
    <w:sdtContent>
      <w:p w14:paraId="34BDA76D" w14:textId="166FBA2B" w:rsidR="00F1290B" w:rsidRDefault="00F1290B">
        <w:pPr>
          <w:pStyle w:val="Pieddepage"/>
          <w:jc w:val="center"/>
        </w:pPr>
        <w:r>
          <w:fldChar w:fldCharType="begin"/>
        </w:r>
        <w:r>
          <w:instrText>PAGE   \* MERGEFORMAT</w:instrText>
        </w:r>
        <w:r>
          <w:fldChar w:fldCharType="separate"/>
        </w:r>
        <w:r>
          <w:t>2</w:t>
        </w:r>
        <w:r>
          <w:fldChar w:fldCharType="end"/>
        </w:r>
      </w:p>
    </w:sdtContent>
  </w:sdt>
  <w:p w14:paraId="28B13D9F" w14:textId="50EF01EC" w:rsidR="00565FE5" w:rsidRDefault="00565FE5">
    <w:pPr>
      <w:spacing w:after="0" w:line="259" w:lineRule="auto"/>
      <w:ind w:left="-1196" w:right="3497"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0C09C" w14:textId="77777777" w:rsidR="00565FE5" w:rsidRDefault="00000000">
    <w:pPr>
      <w:spacing w:after="0" w:line="259" w:lineRule="auto"/>
      <w:ind w:left="-1196" w:right="3497" w:firstLine="0"/>
      <w:jc w:val="left"/>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0324C153" wp14:editId="34194CB1">
              <wp:simplePos x="0" y="0"/>
              <wp:positionH relativeFrom="page">
                <wp:posOffset>3140075</wp:posOffset>
              </wp:positionH>
              <wp:positionV relativeFrom="page">
                <wp:posOffset>10069512</wp:posOffset>
              </wp:positionV>
              <wp:extent cx="1282700" cy="347116"/>
              <wp:effectExtent l="0" t="0" r="0" b="0"/>
              <wp:wrapSquare wrapText="bothSides"/>
              <wp:docPr id="16862" name="Group 16862"/>
              <wp:cNvGraphicFramePr/>
              <a:graphic xmlns:a="http://schemas.openxmlformats.org/drawingml/2006/main">
                <a:graphicData uri="http://schemas.microsoft.com/office/word/2010/wordprocessingGroup">
                  <wpg:wgp>
                    <wpg:cNvGrpSpPr/>
                    <wpg:grpSpPr>
                      <a:xfrm>
                        <a:off x="0" y="0"/>
                        <a:ext cx="1282700" cy="347116"/>
                        <a:chOff x="0" y="0"/>
                        <a:chExt cx="1282700" cy="347116"/>
                      </a:xfrm>
                    </wpg:grpSpPr>
                    <wps:wsp>
                      <wps:cNvPr id="16868" name="Rectangle 16868"/>
                      <wps:cNvSpPr/>
                      <wps:spPr>
                        <a:xfrm>
                          <a:off x="524256" y="37655"/>
                          <a:ext cx="45808" cy="206453"/>
                        </a:xfrm>
                        <a:prstGeom prst="rect">
                          <a:avLst/>
                        </a:prstGeom>
                        <a:ln>
                          <a:noFill/>
                        </a:ln>
                      </wps:spPr>
                      <wps:txbx>
                        <w:txbxContent>
                          <w:p w14:paraId="7705A931" w14:textId="77777777" w:rsidR="00565FE5" w:rsidRDefault="00000000">
                            <w:pPr>
                              <w:spacing w:after="160" w:line="259" w:lineRule="auto"/>
                              <w:ind w:left="0" w:righ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16863" name="Shape 16863"/>
                      <wps:cNvSpPr/>
                      <wps:spPr>
                        <a:xfrm>
                          <a:off x="0" y="0"/>
                          <a:ext cx="1282700" cy="347116"/>
                        </a:xfrm>
                        <a:custGeom>
                          <a:avLst/>
                          <a:gdLst/>
                          <a:ahLst/>
                          <a:cxnLst/>
                          <a:rect l="0" t="0" r="0" b="0"/>
                          <a:pathLst>
                            <a:path w="1282700" h="347116">
                              <a:moveTo>
                                <a:pt x="0" y="0"/>
                              </a:moveTo>
                              <a:cubicBezTo>
                                <a:pt x="160401" y="21475"/>
                                <a:pt x="320675" y="34886"/>
                                <a:pt x="481076" y="40259"/>
                              </a:cubicBezTo>
                              <a:lnTo>
                                <a:pt x="320675" y="75146"/>
                              </a:lnTo>
                              <a:cubicBezTo>
                                <a:pt x="534416" y="89459"/>
                                <a:pt x="748284" y="89459"/>
                                <a:pt x="962025" y="75146"/>
                              </a:cubicBezTo>
                              <a:lnTo>
                                <a:pt x="801751" y="40259"/>
                              </a:lnTo>
                              <a:cubicBezTo>
                                <a:pt x="962025" y="34886"/>
                                <a:pt x="1122426" y="21475"/>
                                <a:pt x="1282700" y="0"/>
                              </a:cubicBezTo>
                              <a:lnTo>
                                <a:pt x="1122426" y="147612"/>
                              </a:lnTo>
                              <a:lnTo>
                                <a:pt x="1282700" y="257645"/>
                              </a:lnTo>
                              <a:cubicBezTo>
                                <a:pt x="1175766" y="271970"/>
                                <a:pt x="1068959" y="282701"/>
                                <a:pt x="962025" y="289852"/>
                              </a:cubicBezTo>
                              <a:lnTo>
                                <a:pt x="962025" y="332803"/>
                              </a:lnTo>
                              <a:cubicBezTo>
                                <a:pt x="748284" y="347116"/>
                                <a:pt x="534416" y="347116"/>
                                <a:pt x="320675" y="332803"/>
                              </a:cubicBezTo>
                              <a:lnTo>
                                <a:pt x="320675" y="289852"/>
                              </a:lnTo>
                              <a:cubicBezTo>
                                <a:pt x="213741" y="282701"/>
                                <a:pt x="106934" y="271970"/>
                                <a:pt x="0" y="257645"/>
                              </a:cubicBezTo>
                              <a:lnTo>
                                <a:pt x="160401" y="147612"/>
                              </a:lnTo>
                              <a:close/>
                            </a:path>
                          </a:pathLst>
                        </a:custGeom>
                        <a:ln w="9525" cap="flat">
                          <a:miter lim="127000"/>
                        </a:ln>
                      </wps:spPr>
                      <wps:style>
                        <a:lnRef idx="1">
                          <a:srgbClr val="71A0DC"/>
                        </a:lnRef>
                        <a:fillRef idx="0">
                          <a:srgbClr val="000000">
                            <a:alpha val="0"/>
                          </a:srgbClr>
                        </a:fillRef>
                        <a:effectRef idx="0">
                          <a:scrgbClr r="0" g="0" b="0"/>
                        </a:effectRef>
                        <a:fontRef idx="none"/>
                      </wps:style>
                      <wps:bodyPr/>
                    </wps:wsp>
                    <wps:wsp>
                      <wps:cNvPr id="16864" name="Shape 16864"/>
                      <wps:cNvSpPr/>
                      <wps:spPr>
                        <a:xfrm>
                          <a:off x="320675" y="75146"/>
                          <a:ext cx="0" cy="214706"/>
                        </a:xfrm>
                        <a:custGeom>
                          <a:avLst/>
                          <a:gdLst/>
                          <a:ahLst/>
                          <a:cxnLst/>
                          <a:rect l="0" t="0" r="0" b="0"/>
                          <a:pathLst>
                            <a:path h="214706">
                              <a:moveTo>
                                <a:pt x="0" y="214706"/>
                              </a:moveTo>
                              <a:lnTo>
                                <a:pt x="0" y="0"/>
                              </a:lnTo>
                            </a:path>
                          </a:pathLst>
                        </a:custGeom>
                        <a:ln w="9525" cap="flat">
                          <a:miter lim="127000"/>
                        </a:ln>
                      </wps:spPr>
                      <wps:style>
                        <a:lnRef idx="1">
                          <a:srgbClr val="71A0DC"/>
                        </a:lnRef>
                        <a:fillRef idx="0">
                          <a:srgbClr val="000000">
                            <a:alpha val="0"/>
                          </a:srgbClr>
                        </a:fillRef>
                        <a:effectRef idx="0">
                          <a:scrgbClr r="0" g="0" b="0"/>
                        </a:effectRef>
                        <a:fontRef idx="none"/>
                      </wps:style>
                      <wps:bodyPr/>
                    </wps:wsp>
                    <wps:wsp>
                      <wps:cNvPr id="16865" name="Shape 16865"/>
                      <wps:cNvSpPr/>
                      <wps:spPr>
                        <a:xfrm>
                          <a:off x="962025" y="75146"/>
                          <a:ext cx="0" cy="214706"/>
                        </a:xfrm>
                        <a:custGeom>
                          <a:avLst/>
                          <a:gdLst/>
                          <a:ahLst/>
                          <a:cxnLst/>
                          <a:rect l="0" t="0" r="0" b="0"/>
                          <a:pathLst>
                            <a:path h="214706">
                              <a:moveTo>
                                <a:pt x="0" y="0"/>
                              </a:moveTo>
                              <a:lnTo>
                                <a:pt x="0" y="214706"/>
                              </a:lnTo>
                            </a:path>
                          </a:pathLst>
                        </a:custGeom>
                        <a:ln w="9525" cap="flat">
                          <a:miter lim="127000"/>
                        </a:ln>
                      </wps:spPr>
                      <wps:style>
                        <a:lnRef idx="1">
                          <a:srgbClr val="71A0DC"/>
                        </a:lnRef>
                        <a:fillRef idx="0">
                          <a:srgbClr val="000000">
                            <a:alpha val="0"/>
                          </a:srgbClr>
                        </a:fillRef>
                        <a:effectRef idx="0">
                          <a:scrgbClr r="0" g="0" b="0"/>
                        </a:effectRef>
                        <a:fontRef idx="none"/>
                      </wps:style>
                      <wps:bodyPr/>
                    </wps:wsp>
                    <wps:wsp>
                      <wps:cNvPr id="16866" name="Shape 16866"/>
                      <wps:cNvSpPr/>
                      <wps:spPr>
                        <a:xfrm>
                          <a:off x="481076" y="40259"/>
                          <a:ext cx="0" cy="42938"/>
                        </a:xfrm>
                        <a:custGeom>
                          <a:avLst/>
                          <a:gdLst/>
                          <a:ahLst/>
                          <a:cxnLst/>
                          <a:rect l="0" t="0" r="0" b="0"/>
                          <a:pathLst>
                            <a:path h="42938">
                              <a:moveTo>
                                <a:pt x="0" y="0"/>
                              </a:moveTo>
                              <a:lnTo>
                                <a:pt x="0" y="42938"/>
                              </a:lnTo>
                            </a:path>
                          </a:pathLst>
                        </a:custGeom>
                        <a:ln w="9525" cap="flat">
                          <a:miter lim="127000"/>
                        </a:ln>
                      </wps:spPr>
                      <wps:style>
                        <a:lnRef idx="1">
                          <a:srgbClr val="71A0DC"/>
                        </a:lnRef>
                        <a:fillRef idx="0">
                          <a:srgbClr val="000000">
                            <a:alpha val="0"/>
                          </a:srgbClr>
                        </a:fillRef>
                        <a:effectRef idx="0">
                          <a:scrgbClr r="0" g="0" b="0"/>
                        </a:effectRef>
                        <a:fontRef idx="none"/>
                      </wps:style>
                      <wps:bodyPr/>
                    </wps:wsp>
                    <wps:wsp>
                      <wps:cNvPr id="16867" name="Shape 16867"/>
                      <wps:cNvSpPr/>
                      <wps:spPr>
                        <a:xfrm>
                          <a:off x="801751" y="40259"/>
                          <a:ext cx="0" cy="42938"/>
                        </a:xfrm>
                        <a:custGeom>
                          <a:avLst/>
                          <a:gdLst/>
                          <a:ahLst/>
                          <a:cxnLst/>
                          <a:rect l="0" t="0" r="0" b="0"/>
                          <a:pathLst>
                            <a:path h="42938">
                              <a:moveTo>
                                <a:pt x="0" y="42938"/>
                              </a:moveTo>
                              <a:lnTo>
                                <a:pt x="0" y="0"/>
                              </a:lnTo>
                            </a:path>
                          </a:pathLst>
                        </a:custGeom>
                        <a:ln w="9525" cap="flat">
                          <a:miter lim="127000"/>
                        </a:ln>
                      </wps:spPr>
                      <wps:style>
                        <a:lnRef idx="1">
                          <a:srgbClr val="71A0DC"/>
                        </a:lnRef>
                        <a:fillRef idx="0">
                          <a:srgbClr val="000000">
                            <a:alpha val="0"/>
                          </a:srgbClr>
                        </a:fillRef>
                        <a:effectRef idx="0">
                          <a:scrgbClr r="0" g="0" b="0"/>
                        </a:effectRef>
                        <a:fontRef idx="none"/>
                      </wps:style>
                      <wps:bodyPr/>
                    </wps:wsp>
                    <wps:wsp>
                      <wps:cNvPr id="16869" name="Rectangle 16869"/>
                      <wps:cNvSpPr/>
                      <wps:spPr>
                        <a:xfrm>
                          <a:off x="603758" y="168719"/>
                          <a:ext cx="102765" cy="206453"/>
                        </a:xfrm>
                        <a:prstGeom prst="rect">
                          <a:avLst/>
                        </a:prstGeom>
                        <a:ln>
                          <a:noFill/>
                        </a:ln>
                      </wps:spPr>
                      <wps:txbx>
                        <w:txbxContent>
                          <w:p w14:paraId="2EDCFF5B" w14:textId="77777777" w:rsidR="00565FE5" w:rsidRDefault="00000000">
                            <w:pPr>
                              <w:spacing w:after="160" w:line="259" w:lineRule="auto"/>
                              <w:ind w:left="0" w:right="0" w:firstLine="0"/>
                              <w:jc w:val="left"/>
                            </w:pPr>
                            <w:r>
                              <w:fldChar w:fldCharType="begin"/>
                            </w:r>
                            <w:r>
                              <w:instrText xml:space="preserve"> PAGE   \* MERGEFORMAT </w:instrText>
                            </w:r>
                            <w:r>
                              <w:fldChar w:fldCharType="separate"/>
                            </w:r>
                            <w:r>
                              <w:rPr>
                                <w:rFonts w:ascii="Calibri" w:eastAsia="Calibri" w:hAnsi="Calibri" w:cs="Calibri"/>
                                <w:color w:val="5B9BD5"/>
                                <w:sz w:val="24"/>
                              </w:rPr>
                              <w:t>1</w:t>
                            </w:r>
                            <w:r>
                              <w:rPr>
                                <w:rFonts w:ascii="Calibri" w:eastAsia="Calibri" w:hAnsi="Calibri" w:cs="Calibri"/>
                                <w:color w:val="5B9BD5"/>
                                <w:sz w:val="24"/>
                              </w:rPr>
                              <w:fldChar w:fldCharType="end"/>
                            </w:r>
                          </w:p>
                        </w:txbxContent>
                      </wps:txbx>
                      <wps:bodyPr horzOverflow="overflow" vert="horz" lIns="0" tIns="0" rIns="0" bIns="0" rtlCol="0">
                        <a:noAutofit/>
                      </wps:bodyPr>
                    </wps:wsp>
                    <wps:wsp>
                      <wps:cNvPr id="16870" name="Rectangle 16870"/>
                      <wps:cNvSpPr/>
                      <wps:spPr>
                        <a:xfrm>
                          <a:off x="681482" y="168719"/>
                          <a:ext cx="45808" cy="206453"/>
                        </a:xfrm>
                        <a:prstGeom prst="rect">
                          <a:avLst/>
                        </a:prstGeom>
                        <a:ln>
                          <a:noFill/>
                        </a:ln>
                      </wps:spPr>
                      <wps:txbx>
                        <w:txbxContent>
                          <w:p w14:paraId="14A4C742" w14:textId="77777777" w:rsidR="00565FE5" w:rsidRDefault="00000000">
                            <w:pPr>
                              <w:spacing w:after="160" w:line="259" w:lineRule="auto"/>
                              <w:ind w:left="0" w:right="0" w:firstLine="0"/>
                              <w:jc w:val="left"/>
                            </w:pPr>
                            <w:r>
                              <w:rPr>
                                <w:rFonts w:ascii="Calibri" w:eastAsia="Calibri" w:hAnsi="Calibri" w:cs="Calibri"/>
                                <w:color w:val="5B9BD5"/>
                                <w:sz w:val="24"/>
                              </w:rPr>
                              <w:t xml:space="preserve"> </w:t>
                            </w:r>
                          </w:p>
                        </w:txbxContent>
                      </wps:txbx>
                      <wps:bodyPr horzOverflow="overflow" vert="horz" lIns="0" tIns="0" rIns="0" bIns="0" rtlCol="0">
                        <a:noAutofit/>
                      </wps:bodyPr>
                    </wps:wsp>
                  </wpg:wgp>
                </a:graphicData>
              </a:graphic>
            </wp:anchor>
          </w:drawing>
        </mc:Choice>
        <mc:Fallback>
          <w:pict>
            <v:group w14:anchorId="0324C153" id="Group 16862" o:spid="_x0000_s1035" style="position:absolute;left:0;text-align:left;margin-left:247.25pt;margin-top:792.85pt;width:101pt;height:27.35pt;z-index:251672576;mso-position-horizontal-relative:page;mso-position-vertical-relative:page" coordsize="12827,3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">
              <v:rect id="Rectangle 16868" o:spid="_x0000_s1036" style="position:absolute;left:5242;top:37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" filled="f" stroked="f">
                <v:textbox inset="0,0,0,0">
                  <w:txbxContent>
                    <w:p w14:paraId="7705A931" w14:textId="77777777" w:rsidR="00565FE5" w:rsidRDefault="00000000">
                      <w:pPr>
                        <w:spacing w:after="160" w:line="259" w:lineRule="auto"/>
                        <w:ind w:left="0" w:right="0" w:firstLine="0"/>
                        <w:jc w:val="left"/>
                      </w:pPr>
                      <w:r>
                        <w:rPr>
                          <w:rFonts w:ascii="Calibri" w:eastAsia="Calibri" w:hAnsi="Calibri" w:cs="Calibri"/>
                          <w:sz w:val="24"/>
                        </w:rPr>
                        <w:t xml:space="preserve"> </w:t>
                      </w:r>
                    </w:p>
                  </w:txbxContent>
                </v:textbox>
              </v:rect>
              <v:shape id="Shape 16863" o:spid="_x0000_s1037" style="position:absolute;width:12827;height:3471;visibility:visible;mso-wrap-style:square;v-text-anchor:top" coordsize="1282700,34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" path="m,c160401,21475,320675,34886,481076,40259l320675,75146v213741,14313,427609,14313,641350,l801751,40259c962025,34886,1122426,21475,1282700,l1122426,147612r160274,110033c1175766,271970,1068959,282701,962025,289852r,42951c748284,347116,534416,347116,320675,332803r,-42951c213741,282701,106934,271970,,257645l160401,147612,,xe" filled="f" strokecolor="#71a0dc">
                <v:stroke miterlimit="83231f" joinstyle="miter"/>
                <v:path arrowok="t" textboxrect="0,0,1282700,347116"/>
              </v:shape>
              <v:shape id="Shape 16864" o:spid="_x0000_s1038" style="position:absolute;left:3206;top:751;width:0;height:2147;visibility:visible;mso-wrap-style:square;v-text-anchor:top" coordsize="0,21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" path="m,214706l,e" filled="f" strokecolor="#71a0dc">
                <v:stroke miterlimit="83231f" joinstyle="miter"/>
                <v:path arrowok="t" textboxrect="0,0,0,214706"/>
              </v:shape>
              <v:shape id="Shape 16865" o:spid="_x0000_s1039" style="position:absolute;left:9620;top:751;width:0;height:2147;visibility:visible;mso-wrap-style:square;v-text-anchor:top" coordsize="0,21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" path="m,l,214706e" filled="f" strokecolor="#71a0dc">
                <v:stroke miterlimit="83231f" joinstyle="miter"/>
                <v:path arrowok="t" textboxrect="0,0,0,214706"/>
              </v:shape>
              <v:shape id="Shape 16866" o:spid="_x0000_s1040" style="position:absolute;left:4810;top:402;width:0;height:429;visibility:visible;mso-wrap-style:square;v-text-anchor:top" coordsize="0,42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" path="m,l,42938e" filled="f" strokecolor="#71a0dc">
                <v:stroke miterlimit="83231f" joinstyle="miter"/>
                <v:path arrowok="t" textboxrect="0,0,0,42938"/>
              </v:shape>
              <v:shape id="Shape 16867" o:spid="_x0000_s1041" style="position:absolute;left:8017;top:402;width:0;height:429;visibility:visible;mso-wrap-style:square;v-text-anchor:top" coordsize="0,42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" path="m,42938l,e" filled="f" strokecolor="#71a0dc">
                <v:stroke miterlimit="83231f" joinstyle="miter"/>
                <v:path arrowok="t" textboxrect="0,0,0,42938"/>
              </v:shape>
              <v:rect id="Rectangle 16869" o:spid="_x0000_s1042" style="position:absolute;left:6037;top:1687;width:102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" filled="f" stroked="f">
                <v:textbox inset="0,0,0,0">
                  <w:txbxContent>
                    <w:p w14:paraId="2EDCFF5B" w14:textId="77777777" w:rsidR="00565FE5" w:rsidRDefault="00000000">
                      <w:pPr>
                        <w:spacing w:after="160" w:line="259" w:lineRule="auto"/>
                        <w:ind w:left="0" w:right="0" w:firstLine="0"/>
                        <w:jc w:val="left"/>
                      </w:pPr>
                      <w:r>
                        <w:fldChar w:fldCharType="begin"/>
                      </w:r>
                      <w:r>
                        <w:instrText xml:space="preserve"> PAGE   \* MERGEFORMAT </w:instrText>
                      </w:r>
                      <w:r>
                        <w:fldChar w:fldCharType="separate"/>
                      </w:r>
                      <w:r>
                        <w:rPr>
                          <w:rFonts w:ascii="Calibri" w:eastAsia="Calibri" w:hAnsi="Calibri" w:cs="Calibri"/>
                          <w:color w:val="5B9BD5"/>
                          <w:sz w:val="24"/>
                        </w:rPr>
                        <w:t>1</w:t>
                      </w:r>
                      <w:r>
                        <w:rPr>
                          <w:rFonts w:ascii="Calibri" w:eastAsia="Calibri" w:hAnsi="Calibri" w:cs="Calibri"/>
                          <w:color w:val="5B9BD5"/>
                          <w:sz w:val="24"/>
                        </w:rPr>
                        <w:fldChar w:fldCharType="end"/>
                      </w:r>
                    </w:p>
                  </w:txbxContent>
                </v:textbox>
              </v:rect>
              <v:rect id="Rectangle 16870" o:spid="_x0000_s1043" style="position:absolute;left:6814;top:168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" filled="f" stroked="f">
                <v:textbox inset="0,0,0,0">
                  <w:txbxContent>
                    <w:p w14:paraId="14A4C742" w14:textId="77777777" w:rsidR="00565FE5" w:rsidRDefault="00000000">
                      <w:pPr>
                        <w:spacing w:after="160" w:line="259" w:lineRule="auto"/>
                        <w:ind w:left="0" w:right="0" w:firstLine="0"/>
                        <w:jc w:val="left"/>
                      </w:pPr>
                      <w:r>
                        <w:rPr>
                          <w:rFonts w:ascii="Calibri" w:eastAsia="Calibri" w:hAnsi="Calibri" w:cs="Calibri"/>
                          <w:color w:val="5B9BD5"/>
                          <w:sz w:val="24"/>
                        </w:rPr>
                        <w:t xml:space="preserve"> </w:t>
                      </w:r>
                    </w:p>
                  </w:txbxContent>
                </v:textbox>
              </v:rect>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D63F0" w14:textId="77777777" w:rsidR="002A0A4C" w:rsidRDefault="002A0A4C">
      <w:pPr>
        <w:spacing w:after="0" w:line="259" w:lineRule="auto"/>
        <w:ind w:left="245" w:right="0" w:firstLine="0"/>
        <w:jc w:val="left"/>
      </w:pPr>
      <w:r>
        <w:separator/>
      </w:r>
    </w:p>
  </w:footnote>
  <w:footnote w:type="continuationSeparator" w:id="0">
    <w:p w14:paraId="5D617DF0" w14:textId="77777777" w:rsidR="002A0A4C" w:rsidRDefault="002A0A4C">
      <w:pPr>
        <w:spacing w:after="0" w:line="259" w:lineRule="auto"/>
        <w:ind w:left="245" w:righ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935D" w14:textId="77777777" w:rsidR="00565FE5" w:rsidRDefault="00000000">
    <w:pPr>
      <w:spacing w:after="0" w:line="259" w:lineRule="auto"/>
      <w:ind w:left="0" w:right="-1452" w:firstLine="0"/>
      <w:jc w:val="right"/>
    </w:pPr>
    <w:r>
      <w:rPr>
        <w:noProof/>
      </w:rPr>
      <w:drawing>
        <wp:anchor distT="0" distB="0" distL="114300" distR="114300" simplePos="0" relativeHeight="251658240" behindDoc="0" locked="0" layoutInCell="1" allowOverlap="0" wp14:anchorId="3C3D3BC5" wp14:editId="142AB9BA">
          <wp:simplePos x="0" y="0"/>
          <wp:positionH relativeFrom="page">
            <wp:posOffset>914400</wp:posOffset>
          </wp:positionH>
          <wp:positionV relativeFrom="page">
            <wp:posOffset>542976</wp:posOffset>
          </wp:positionV>
          <wp:extent cx="831215" cy="497662"/>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831215" cy="497662"/>
                  </a:xfrm>
                  <a:prstGeom prst="rect">
                    <a:avLst/>
                  </a:prstGeom>
                </pic:spPr>
              </pic:pic>
            </a:graphicData>
          </a:graphic>
        </wp:anchor>
      </w:drawing>
    </w:r>
    <w:r>
      <w:rPr>
        <w:noProof/>
      </w:rPr>
      <w:drawing>
        <wp:anchor distT="0" distB="0" distL="114300" distR="114300" simplePos="0" relativeHeight="251659264" behindDoc="0" locked="0" layoutInCell="1" allowOverlap="0" wp14:anchorId="4623E126" wp14:editId="69813AB4">
          <wp:simplePos x="0" y="0"/>
          <wp:positionH relativeFrom="page">
            <wp:posOffset>2545080</wp:posOffset>
          </wp:positionH>
          <wp:positionV relativeFrom="page">
            <wp:posOffset>467994</wp:posOffset>
          </wp:positionV>
          <wp:extent cx="792480" cy="572770"/>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
                  <a:stretch>
                    <a:fillRect/>
                  </a:stretch>
                </pic:blipFill>
                <pic:spPr>
                  <a:xfrm>
                    <a:off x="0" y="0"/>
                    <a:ext cx="792480" cy="572770"/>
                  </a:xfrm>
                  <a:prstGeom prst="rect">
                    <a:avLst/>
                  </a:prstGeom>
                </pic:spPr>
              </pic:pic>
            </a:graphicData>
          </a:graphic>
        </wp:anchor>
      </w:drawing>
    </w:r>
    <w:r>
      <w:rPr>
        <w:noProof/>
      </w:rPr>
      <w:drawing>
        <wp:anchor distT="0" distB="0" distL="114300" distR="114300" simplePos="0" relativeHeight="251660288" behindDoc="0" locked="0" layoutInCell="1" allowOverlap="0" wp14:anchorId="1DB60BAC" wp14:editId="6BEA77C2">
          <wp:simplePos x="0" y="0"/>
          <wp:positionH relativeFrom="page">
            <wp:posOffset>3827526</wp:posOffset>
          </wp:positionH>
          <wp:positionV relativeFrom="page">
            <wp:posOffset>526466</wp:posOffset>
          </wp:positionV>
          <wp:extent cx="1581150" cy="510997"/>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3"/>
                  <a:stretch>
                    <a:fillRect/>
                  </a:stretch>
                </pic:blipFill>
                <pic:spPr>
                  <a:xfrm>
                    <a:off x="0" y="0"/>
                    <a:ext cx="1581150" cy="510997"/>
                  </a:xfrm>
                  <a:prstGeom prst="rect">
                    <a:avLst/>
                  </a:prstGeom>
                </pic:spPr>
              </pic:pic>
            </a:graphicData>
          </a:graphic>
        </wp:anchor>
      </w:drawing>
    </w:r>
    <w:r>
      <w:rPr>
        <w:noProof/>
      </w:rPr>
      <w:drawing>
        <wp:anchor distT="0" distB="0" distL="114300" distR="114300" simplePos="0" relativeHeight="251661312" behindDoc="0" locked="0" layoutInCell="1" allowOverlap="0" wp14:anchorId="1D01491C" wp14:editId="555E85EC">
          <wp:simplePos x="0" y="0"/>
          <wp:positionH relativeFrom="page">
            <wp:posOffset>5891022</wp:posOffset>
          </wp:positionH>
          <wp:positionV relativeFrom="page">
            <wp:posOffset>564515</wp:posOffset>
          </wp:positionV>
          <wp:extent cx="745033" cy="468630"/>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4"/>
                  <a:stretch>
                    <a:fillRect/>
                  </a:stretch>
                </pic:blipFill>
                <pic:spPr>
                  <a:xfrm>
                    <a:off x="0" y="0"/>
                    <a:ext cx="745033" cy="468630"/>
                  </a:xfrm>
                  <a:prstGeom prst="rect">
                    <a:avLst/>
                  </a:prstGeom>
                </pic:spPr>
              </pic:pic>
            </a:graphicData>
          </a:graphic>
        </wp:anchor>
      </w:drawing>
    </w:r>
    <w:r>
      <w:rPr>
        <w:rFonts w:ascii="Calibri" w:eastAsia="Calibri" w:hAnsi="Calibri" w:cs="Calibri"/>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92D0" w14:textId="35C83D75" w:rsidR="00565FE5" w:rsidRDefault="009770E5">
    <w:pPr>
      <w:spacing w:after="0" w:line="259" w:lineRule="auto"/>
      <w:ind w:left="0" w:right="-1452" w:firstLine="0"/>
      <w:jc w:val="right"/>
    </w:pPr>
    <w:r>
      <w:rPr>
        <w:noProof/>
      </w:rPr>
      <w:drawing>
        <wp:anchor distT="0" distB="0" distL="114300" distR="114300" simplePos="0" relativeHeight="251664384" behindDoc="0" locked="0" layoutInCell="1" allowOverlap="0" wp14:anchorId="5051BAA1" wp14:editId="02E54F0A">
          <wp:simplePos x="0" y="0"/>
          <wp:positionH relativeFrom="page">
            <wp:posOffset>4641448</wp:posOffset>
          </wp:positionH>
          <wp:positionV relativeFrom="topMargin">
            <wp:posOffset>532435</wp:posOffset>
          </wp:positionV>
          <wp:extent cx="1435060" cy="510494"/>
          <wp:effectExtent l="0" t="0" r="0" b="4445"/>
          <wp:wrapSquare wrapText="bothSides"/>
          <wp:docPr id="3"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435060" cy="510494"/>
                  </a:xfrm>
                  <a:prstGeom prst="rect">
                    <a:avLst/>
                  </a:prstGeom>
                </pic:spPr>
              </pic:pic>
            </a:graphicData>
          </a:graphic>
          <wp14:sizeRelH relativeFrom="margin">
            <wp14:pctWidth>0</wp14:pctWidth>
          </wp14:sizeRelH>
        </wp:anchor>
      </w:drawing>
    </w:r>
    <w:r>
      <w:rPr>
        <w:noProof/>
      </w:rPr>
      <w:drawing>
        <wp:anchor distT="0" distB="0" distL="114300" distR="114300" simplePos="0" relativeHeight="251665408" behindDoc="0" locked="0" layoutInCell="1" allowOverlap="0" wp14:anchorId="20E7C6C7" wp14:editId="101AC24F">
          <wp:simplePos x="0" y="0"/>
          <wp:positionH relativeFrom="page">
            <wp:posOffset>6354501</wp:posOffset>
          </wp:positionH>
          <wp:positionV relativeFrom="topMargin">
            <wp:align>bottom</wp:align>
          </wp:positionV>
          <wp:extent cx="698970" cy="467995"/>
          <wp:effectExtent l="0" t="0" r="6350" b="8255"/>
          <wp:wrapSquare wrapText="bothSides"/>
          <wp:docPr id="4"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
                  <a:stretch>
                    <a:fillRect/>
                  </a:stretch>
                </pic:blipFill>
                <pic:spPr>
                  <a:xfrm>
                    <a:off x="0" y="0"/>
                    <a:ext cx="698970" cy="46799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63360" behindDoc="0" locked="0" layoutInCell="1" allowOverlap="0" wp14:anchorId="23AB0AA7" wp14:editId="114E42CA">
          <wp:simplePos x="0" y="0"/>
          <wp:positionH relativeFrom="page">
            <wp:posOffset>1944547</wp:posOffset>
          </wp:positionH>
          <wp:positionV relativeFrom="topMargin">
            <wp:align>bottom</wp:align>
          </wp:positionV>
          <wp:extent cx="861695" cy="572135"/>
          <wp:effectExtent l="0" t="0" r="0" b="0"/>
          <wp:wrapSquare wrapText="bothSides"/>
          <wp:docPr id="2"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3"/>
                  <a:stretch>
                    <a:fillRect/>
                  </a:stretch>
                </pic:blipFill>
                <pic:spPr>
                  <a:xfrm>
                    <a:off x="0" y="0"/>
                    <a:ext cx="875940" cy="581597"/>
                  </a:xfrm>
                  <a:prstGeom prst="rect">
                    <a:avLst/>
                  </a:prstGeom>
                </pic:spPr>
              </pic:pic>
            </a:graphicData>
          </a:graphic>
          <wp14:sizeRelH relativeFrom="margin">
            <wp14:pctWidth>0</wp14:pctWidth>
          </wp14:sizeRelH>
        </wp:anchor>
      </w:drawing>
    </w:r>
    <w:r>
      <w:rPr>
        <w:noProof/>
      </w:rPr>
      <w:drawing>
        <wp:anchor distT="0" distB="0" distL="114300" distR="114300" simplePos="0" relativeHeight="251662336" behindDoc="0" locked="0" layoutInCell="1" allowOverlap="0" wp14:anchorId="264484E7" wp14:editId="0A2B863B">
          <wp:simplePos x="0" y="0"/>
          <wp:positionH relativeFrom="page">
            <wp:posOffset>914400</wp:posOffset>
          </wp:positionH>
          <wp:positionV relativeFrom="page">
            <wp:posOffset>542976</wp:posOffset>
          </wp:positionV>
          <wp:extent cx="831215" cy="497662"/>
          <wp:effectExtent l="0" t="0" r="0" b="0"/>
          <wp:wrapSquare wrapText="bothSides"/>
          <wp:docPr id="1"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4"/>
                  <a:stretch>
                    <a:fillRect/>
                  </a:stretch>
                </pic:blipFill>
                <pic:spPr>
                  <a:xfrm>
                    <a:off x="0" y="0"/>
                    <a:ext cx="831215" cy="497662"/>
                  </a:xfrm>
                  <a:prstGeom prst="rect">
                    <a:avLst/>
                  </a:prstGeom>
                </pic:spPr>
              </pic:pic>
            </a:graphicData>
          </a:graphic>
        </wp:anchor>
      </w:drawing>
    </w:r>
    <w:r>
      <w:rPr>
        <w:rFonts w:ascii="Calibri" w:eastAsia="Calibri" w:hAnsi="Calibri" w:cs="Calibri"/>
        <w:noProof/>
        <w:sz w:val="24"/>
      </w:rPr>
      <w:drawing>
        <wp:inline distT="0" distB="0" distL="0" distR="0" wp14:anchorId="7994C40C" wp14:editId="4937E76F">
          <wp:extent cx="1572260" cy="594161"/>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9842" cy="623480"/>
                  </a:xfrm>
                  <a:prstGeom prst="rect">
                    <a:avLst/>
                  </a:prstGeom>
                  <a:noFill/>
                </pic:spPr>
              </pic:pic>
            </a:graphicData>
          </a:graphic>
        </wp:inline>
      </w:drawing>
    </w:r>
    <w:r>
      <w:rPr>
        <w:rFonts w:ascii="Calibri" w:eastAsia="Calibri" w:hAnsi="Calibri" w:cs="Calibri"/>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6DFAF" w14:textId="77777777" w:rsidR="00565FE5" w:rsidRDefault="00000000">
    <w:pPr>
      <w:spacing w:after="0" w:line="259" w:lineRule="auto"/>
      <w:ind w:left="0" w:right="-1452" w:firstLine="0"/>
      <w:jc w:val="right"/>
    </w:pPr>
    <w:r>
      <w:rPr>
        <w:noProof/>
      </w:rPr>
      <w:drawing>
        <wp:anchor distT="0" distB="0" distL="114300" distR="114300" simplePos="0" relativeHeight="251666432" behindDoc="0" locked="0" layoutInCell="1" allowOverlap="0" wp14:anchorId="4E9B83B9" wp14:editId="3F194180">
          <wp:simplePos x="0" y="0"/>
          <wp:positionH relativeFrom="page">
            <wp:posOffset>914400</wp:posOffset>
          </wp:positionH>
          <wp:positionV relativeFrom="page">
            <wp:posOffset>542976</wp:posOffset>
          </wp:positionV>
          <wp:extent cx="831215" cy="497662"/>
          <wp:effectExtent l="0" t="0" r="0" b="0"/>
          <wp:wrapSquare wrapText="bothSides"/>
          <wp:docPr id="5"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831215" cy="497662"/>
                  </a:xfrm>
                  <a:prstGeom prst="rect">
                    <a:avLst/>
                  </a:prstGeom>
                </pic:spPr>
              </pic:pic>
            </a:graphicData>
          </a:graphic>
        </wp:anchor>
      </w:drawing>
    </w:r>
    <w:r>
      <w:rPr>
        <w:noProof/>
      </w:rPr>
      <w:drawing>
        <wp:anchor distT="0" distB="0" distL="114300" distR="114300" simplePos="0" relativeHeight="251667456" behindDoc="0" locked="0" layoutInCell="1" allowOverlap="0" wp14:anchorId="46F2978D" wp14:editId="63ACE412">
          <wp:simplePos x="0" y="0"/>
          <wp:positionH relativeFrom="page">
            <wp:posOffset>2545080</wp:posOffset>
          </wp:positionH>
          <wp:positionV relativeFrom="page">
            <wp:posOffset>467994</wp:posOffset>
          </wp:positionV>
          <wp:extent cx="792480" cy="572770"/>
          <wp:effectExtent l="0" t="0" r="0" b="0"/>
          <wp:wrapSquare wrapText="bothSides"/>
          <wp:docPr id="6"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
                  <a:stretch>
                    <a:fillRect/>
                  </a:stretch>
                </pic:blipFill>
                <pic:spPr>
                  <a:xfrm>
                    <a:off x="0" y="0"/>
                    <a:ext cx="792480" cy="572770"/>
                  </a:xfrm>
                  <a:prstGeom prst="rect">
                    <a:avLst/>
                  </a:prstGeom>
                </pic:spPr>
              </pic:pic>
            </a:graphicData>
          </a:graphic>
        </wp:anchor>
      </w:drawing>
    </w:r>
    <w:r>
      <w:rPr>
        <w:noProof/>
      </w:rPr>
      <w:drawing>
        <wp:anchor distT="0" distB="0" distL="114300" distR="114300" simplePos="0" relativeHeight="251668480" behindDoc="0" locked="0" layoutInCell="1" allowOverlap="0" wp14:anchorId="7AB67D4C" wp14:editId="45F1C8FE">
          <wp:simplePos x="0" y="0"/>
          <wp:positionH relativeFrom="page">
            <wp:posOffset>3827526</wp:posOffset>
          </wp:positionH>
          <wp:positionV relativeFrom="page">
            <wp:posOffset>526466</wp:posOffset>
          </wp:positionV>
          <wp:extent cx="1581150" cy="510997"/>
          <wp:effectExtent l="0" t="0" r="0" b="0"/>
          <wp:wrapSquare wrapText="bothSides"/>
          <wp:docPr id="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3"/>
                  <a:stretch>
                    <a:fillRect/>
                  </a:stretch>
                </pic:blipFill>
                <pic:spPr>
                  <a:xfrm>
                    <a:off x="0" y="0"/>
                    <a:ext cx="1581150" cy="510997"/>
                  </a:xfrm>
                  <a:prstGeom prst="rect">
                    <a:avLst/>
                  </a:prstGeom>
                </pic:spPr>
              </pic:pic>
            </a:graphicData>
          </a:graphic>
        </wp:anchor>
      </w:drawing>
    </w:r>
    <w:r>
      <w:rPr>
        <w:noProof/>
      </w:rPr>
      <w:drawing>
        <wp:anchor distT="0" distB="0" distL="114300" distR="114300" simplePos="0" relativeHeight="251669504" behindDoc="0" locked="0" layoutInCell="1" allowOverlap="0" wp14:anchorId="67B87FD4" wp14:editId="2C0CD3C4">
          <wp:simplePos x="0" y="0"/>
          <wp:positionH relativeFrom="page">
            <wp:posOffset>5891022</wp:posOffset>
          </wp:positionH>
          <wp:positionV relativeFrom="page">
            <wp:posOffset>564515</wp:posOffset>
          </wp:positionV>
          <wp:extent cx="745033" cy="468630"/>
          <wp:effectExtent l="0" t="0" r="0" b="0"/>
          <wp:wrapSquare wrapText="bothSides"/>
          <wp:docPr id="8"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4"/>
                  <a:stretch>
                    <a:fillRect/>
                  </a:stretch>
                </pic:blipFill>
                <pic:spPr>
                  <a:xfrm>
                    <a:off x="0" y="0"/>
                    <a:ext cx="745033" cy="468630"/>
                  </a:xfrm>
                  <a:prstGeom prst="rect">
                    <a:avLst/>
                  </a:prstGeom>
                </pic:spPr>
              </pic:pic>
            </a:graphicData>
          </a:graphic>
        </wp:anchor>
      </w:drawing>
    </w:r>
    <w:r>
      <w:rPr>
        <w:rFonts w:ascii="Calibri" w:eastAsia="Calibri" w:hAnsi="Calibri" w:cs="Calibri"/>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2FF5"/>
    <w:multiLevelType w:val="hybridMultilevel"/>
    <w:tmpl w:val="1054E81A"/>
    <w:lvl w:ilvl="0" w:tplc="C6CC2E26">
      <w:start w:val="1"/>
      <w:numFmt w:val="bullet"/>
      <w:lvlText w:val="✓"/>
      <w:lvlJc w:val="left"/>
      <w:pPr>
        <w:ind w:left="72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B0B815BC">
      <w:start w:val="1"/>
      <w:numFmt w:val="bullet"/>
      <w:lvlText w:val="o"/>
      <w:lvlJc w:val="left"/>
      <w:pPr>
        <w:ind w:left="154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26363CF6">
      <w:start w:val="1"/>
      <w:numFmt w:val="bullet"/>
      <w:lvlText w:val="▪"/>
      <w:lvlJc w:val="left"/>
      <w:pPr>
        <w:ind w:left="226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158CE7EA">
      <w:start w:val="1"/>
      <w:numFmt w:val="bullet"/>
      <w:lvlText w:val="•"/>
      <w:lvlJc w:val="left"/>
      <w:pPr>
        <w:ind w:left="298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9DD8E208">
      <w:start w:val="1"/>
      <w:numFmt w:val="bullet"/>
      <w:lvlText w:val="o"/>
      <w:lvlJc w:val="left"/>
      <w:pPr>
        <w:ind w:left="370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CD98EC4E">
      <w:start w:val="1"/>
      <w:numFmt w:val="bullet"/>
      <w:lvlText w:val="▪"/>
      <w:lvlJc w:val="left"/>
      <w:pPr>
        <w:ind w:left="442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EFAEAD9A">
      <w:start w:val="1"/>
      <w:numFmt w:val="bullet"/>
      <w:lvlText w:val="•"/>
      <w:lvlJc w:val="left"/>
      <w:pPr>
        <w:ind w:left="514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73EEF11A">
      <w:start w:val="1"/>
      <w:numFmt w:val="bullet"/>
      <w:lvlText w:val="o"/>
      <w:lvlJc w:val="left"/>
      <w:pPr>
        <w:ind w:left="586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2D30E3D4">
      <w:start w:val="1"/>
      <w:numFmt w:val="bullet"/>
      <w:lvlText w:val="▪"/>
      <w:lvlJc w:val="left"/>
      <w:pPr>
        <w:ind w:left="658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D896296"/>
    <w:multiLevelType w:val="hybridMultilevel"/>
    <w:tmpl w:val="FACE4A38"/>
    <w:lvl w:ilvl="0" w:tplc="C82A7892">
      <w:start w:val="3"/>
      <w:numFmt w:val="bullet"/>
      <w:lvlText w:val="-"/>
      <w:lvlJc w:val="left"/>
      <w:pPr>
        <w:ind w:left="720" w:hanging="360"/>
      </w:pPr>
      <w:rPr>
        <w:rFonts w:ascii="Times New Roman" w:eastAsia="Aria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BF4C45"/>
    <w:multiLevelType w:val="hybridMultilevel"/>
    <w:tmpl w:val="651428D0"/>
    <w:lvl w:ilvl="0" w:tplc="1E6EA838">
      <w:start w:val="1"/>
      <w:numFmt w:val="bullet"/>
      <w:lvlText w:val="-"/>
      <w:lvlJc w:val="left"/>
      <w:pPr>
        <w:ind w:left="7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C14DE54">
      <w:start w:val="1"/>
      <w:numFmt w:val="bullet"/>
      <w:lvlText w:val="o"/>
      <w:lvlJc w:val="left"/>
      <w:pPr>
        <w:ind w:left="15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B680D02">
      <w:start w:val="1"/>
      <w:numFmt w:val="bullet"/>
      <w:lvlText w:val="▪"/>
      <w:lvlJc w:val="left"/>
      <w:pPr>
        <w:ind w:left="22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F04862C">
      <w:start w:val="1"/>
      <w:numFmt w:val="bullet"/>
      <w:lvlText w:val="•"/>
      <w:lvlJc w:val="left"/>
      <w:pPr>
        <w:ind w:left="29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944710">
      <w:start w:val="1"/>
      <w:numFmt w:val="bullet"/>
      <w:lvlText w:val="o"/>
      <w:lvlJc w:val="left"/>
      <w:pPr>
        <w:ind w:left="3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BD0EFD2">
      <w:start w:val="1"/>
      <w:numFmt w:val="bullet"/>
      <w:lvlText w:val="▪"/>
      <w:lvlJc w:val="left"/>
      <w:pPr>
        <w:ind w:left="4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5FCCEC4">
      <w:start w:val="1"/>
      <w:numFmt w:val="bullet"/>
      <w:lvlText w:val="•"/>
      <w:lvlJc w:val="left"/>
      <w:pPr>
        <w:ind w:left="5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EE83C1A">
      <w:start w:val="1"/>
      <w:numFmt w:val="bullet"/>
      <w:lvlText w:val="o"/>
      <w:lvlJc w:val="left"/>
      <w:pPr>
        <w:ind w:left="5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C0449C8">
      <w:start w:val="1"/>
      <w:numFmt w:val="bullet"/>
      <w:lvlText w:val="▪"/>
      <w:lvlJc w:val="left"/>
      <w:pPr>
        <w:ind w:left="6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27517B2"/>
    <w:multiLevelType w:val="hybridMultilevel"/>
    <w:tmpl w:val="76842A88"/>
    <w:lvl w:ilvl="0" w:tplc="04090011">
      <w:start w:val="1"/>
      <w:numFmt w:val="decimal"/>
      <w:lvlText w:val="%1)"/>
      <w:lvlJc w:val="left"/>
      <w:pPr>
        <w:ind w:left="964" w:hanging="360"/>
      </w:pPr>
    </w:lvl>
    <w:lvl w:ilvl="1" w:tplc="040C0019" w:tentative="1">
      <w:start w:val="1"/>
      <w:numFmt w:val="lowerLetter"/>
      <w:lvlText w:val="%2."/>
      <w:lvlJc w:val="left"/>
      <w:pPr>
        <w:ind w:left="1684" w:hanging="360"/>
      </w:pPr>
    </w:lvl>
    <w:lvl w:ilvl="2" w:tplc="040C001B" w:tentative="1">
      <w:start w:val="1"/>
      <w:numFmt w:val="lowerRoman"/>
      <w:lvlText w:val="%3."/>
      <w:lvlJc w:val="right"/>
      <w:pPr>
        <w:ind w:left="2404" w:hanging="180"/>
      </w:pPr>
    </w:lvl>
    <w:lvl w:ilvl="3" w:tplc="040C000F" w:tentative="1">
      <w:start w:val="1"/>
      <w:numFmt w:val="decimal"/>
      <w:lvlText w:val="%4."/>
      <w:lvlJc w:val="left"/>
      <w:pPr>
        <w:ind w:left="3124" w:hanging="360"/>
      </w:pPr>
    </w:lvl>
    <w:lvl w:ilvl="4" w:tplc="040C0019" w:tentative="1">
      <w:start w:val="1"/>
      <w:numFmt w:val="lowerLetter"/>
      <w:lvlText w:val="%5."/>
      <w:lvlJc w:val="left"/>
      <w:pPr>
        <w:ind w:left="3844" w:hanging="360"/>
      </w:pPr>
    </w:lvl>
    <w:lvl w:ilvl="5" w:tplc="040C001B" w:tentative="1">
      <w:start w:val="1"/>
      <w:numFmt w:val="lowerRoman"/>
      <w:lvlText w:val="%6."/>
      <w:lvlJc w:val="right"/>
      <w:pPr>
        <w:ind w:left="4564" w:hanging="180"/>
      </w:pPr>
    </w:lvl>
    <w:lvl w:ilvl="6" w:tplc="040C000F" w:tentative="1">
      <w:start w:val="1"/>
      <w:numFmt w:val="decimal"/>
      <w:lvlText w:val="%7."/>
      <w:lvlJc w:val="left"/>
      <w:pPr>
        <w:ind w:left="5284" w:hanging="360"/>
      </w:pPr>
    </w:lvl>
    <w:lvl w:ilvl="7" w:tplc="040C0019" w:tentative="1">
      <w:start w:val="1"/>
      <w:numFmt w:val="lowerLetter"/>
      <w:lvlText w:val="%8."/>
      <w:lvlJc w:val="left"/>
      <w:pPr>
        <w:ind w:left="6004" w:hanging="360"/>
      </w:pPr>
    </w:lvl>
    <w:lvl w:ilvl="8" w:tplc="040C001B" w:tentative="1">
      <w:start w:val="1"/>
      <w:numFmt w:val="lowerRoman"/>
      <w:lvlText w:val="%9."/>
      <w:lvlJc w:val="right"/>
      <w:pPr>
        <w:ind w:left="6724" w:hanging="180"/>
      </w:pPr>
    </w:lvl>
  </w:abstractNum>
  <w:abstractNum w:abstractNumId="4" w15:restartNumberingAfterBreak="0">
    <w:nsid w:val="2D1543B7"/>
    <w:multiLevelType w:val="hybridMultilevel"/>
    <w:tmpl w:val="3022FEC8"/>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094822"/>
    <w:multiLevelType w:val="hybridMultilevel"/>
    <w:tmpl w:val="2C66D500"/>
    <w:lvl w:ilvl="0" w:tplc="0CE05E56">
      <w:start w:val="1"/>
      <w:numFmt w:val="bullet"/>
      <w:lvlText w:val="❖"/>
      <w:lvlJc w:val="left"/>
      <w:pPr>
        <w:ind w:left="72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A1DE5778">
      <w:start w:val="1"/>
      <w:numFmt w:val="bullet"/>
      <w:lvlText w:val="o"/>
      <w:lvlJc w:val="left"/>
      <w:pPr>
        <w:ind w:left="154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1DD6DBCE">
      <w:start w:val="1"/>
      <w:numFmt w:val="bullet"/>
      <w:lvlText w:val="▪"/>
      <w:lvlJc w:val="left"/>
      <w:pPr>
        <w:ind w:left="226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F4C83090">
      <w:start w:val="1"/>
      <w:numFmt w:val="bullet"/>
      <w:lvlText w:val="•"/>
      <w:lvlJc w:val="left"/>
      <w:pPr>
        <w:ind w:left="298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62F85456">
      <w:start w:val="1"/>
      <w:numFmt w:val="bullet"/>
      <w:lvlText w:val="o"/>
      <w:lvlJc w:val="left"/>
      <w:pPr>
        <w:ind w:left="370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E5B6FFC0">
      <w:start w:val="1"/>
      <w:numFmt w:val="bullet"/>
      <w:lvlText w:val="▪"/>
      <w:lvlJc w:val="left"/>
      <w:pPr>
        <w:ind w:left="442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1A7C79EA">
      <w:start w:val="1"/>
      <w:numFmt w:val="bullet"/>
      <w:lvlText w:val="•"/>
      <w:lvlJc w:val="left"/>
      <w:pPr>
        <w:ind w:left="514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7EDEA5F8">
      <w:start w:val="1"/>
      <w:numFmt w:val="bullet"/>
      <w:lvlText w:val="o"/>
      <w:lvlJc w:val="left"/>
      <w:pPr>
        <w:ind w:left="586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B74A1A22">
      <w:start w:val="1"/>
      <w:numFmt w:val="bullet"/>
      <w:lvlText w:val="▪"/>
      <w:lvlJc w:val="left"/>
      <w:pPr>
        <w:ind w:left="658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2854BE9"/>
    <w:multiLevelType w:val="hybridMultilevel"/>
    <w:tmpl w:val="DB2A64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36848AE"/>
    <w:multiLevelType w:val="hybridMultilevel"/>
    <w:tmpl w:val="16C0170A"/>
    <w:lvl w:ilvl="0" w:tplc="04090011">
      <w:start w:val="1"/>
      <w:numFmt w:val="decimal"/>
      <w:lvlText w:val="%1)"/>
      <w:lvlJc w:val="left"/>
      <w:pPr>
        <w:ind w:left="964" w:hanging="360"/>
      </w:pPr>
    </w:lvl>
    <w:lvl w:ilvl="1" w:tplc="040C0019" w:tentative="1">
      <w:start w:val="1"/>
      <w:numFmt w:val="lowerLetter"/>
      <w:lvlText w:val="%2."/>
      <w:lvlJc w:val="left"/>
      <w:pPr>
        <w:ind w:left="1684" w:hanging="360"/>
      </w:pPr>
    </w:lvl>
    <w:lvl w:ilvl="2" w:tplc="040C001B" w:tentative="1">
      <w:start w:val="1"/>
      <w:numFmt w:val="lowerRoman"/>
      <w:lvlText w:val="%3."/>
      <w:lvlJc w:val="right"/>
      <w:pPr>
        <w:ind w:left="2404" w:hanging="180"/>
      </w:pPr>
    </w:lvl>
    <w:lvl w:ilvl="3" w:tplc="040C000F" w:tentative="1">
      <w:start w:val="1"/>
      <w:numFmt w:val="decimal"/>
      <w:lvlText w:val="%4."/>
      <w:lvlJc w:val="left"/>
      <w:pPr>
        <w:ind w:left="3124" w:hanging="360"/>
      </w:pPr>
    </w:lvl>
    <w:lvl w:ilvl="4" w:tplc="040C0019" w:tentative="1">
      <w:start w:val="1"/>
      <w:numFmt w:val="lowerLetter"/>
      <w:lvlText w:val="%5."/>
      <w:lvlJc w:val="left"/>
      <w:pPr>
        <w:ind w:left="3844" w:hanging="360"/>
      </w:pPr>
    </w:lvl>
    <w:lvl w:ilvl="5" w:tplc="040C001B" w:tentative="1">
      <w:start w:val="1"/>
      <w:numFmt w:val="lowerRoman"/>
      <w:lvlText w:val="%6."/>
      <w:lvlJc w:val="right"/>
      <w:pPr>
        <w:ind w:left="4564" w:hanging="180"/>
      </w:pPr>
    </w:lvl>
    <w:lvl w:ilvl="6" w:tplc="040C000F" w:tentative="1">
      <w:start w:val="1"/>
      <w:numFmt w:val="decimal"/>
      <w:lvlText w:val="%7."/>
      <w:lvlJc w:val="left"/>
      <w:pPr>
        <w:ind w:left="5284" w:hanging="360"/>
      </w:pPr>
    </w:lvl>
    <w:lvl w:ilvl="7" w:tplc="040C0019" w:tentative="1">
      <w:start w:val="1"/>
      <w:numFmt w:val="lowerLetter"/>
      <w:lvlText w:val="%8."/>
      <w:lvlJc w:val="left"/>
      <w:pPr>
        <w:ind w:left="6004" w:hanging="360"/>
      </w:pPr>
    </w:lvl>
    <w:lvl w:ilvl="8" w:tplc="040C001B" w:tentative="1">
      <w:start w:val="1"/>
      <w:numFmt w:val="lowerRoman"/>
      <w:lvlText w:val="%9."/>
      <w:lvlJc w:val="right"/>
      <w:pPr>
        <w:ind w:left="6724" w:hanging="180"/>
      </w:pPr>
    </w:lvl>
  </w:abstractNum>
  <w:abstractNum w:abstractNumId="8" w15:restartNumberingAfterBreak="0">
    <w:nsid w:val="3C8B6374"/>
    <w:multiLevelType w:val="hybridMultilevel"/>
    <w:tmpl w:val="BBECE118"/>
    <w:lvl w:ilvl="0" w:tplc="B1A80308">
      <w:start w:val="9"/>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3A349D"/>
    <w:multiLevelType w:val="hybridMultilevel"/>
    <w:tmpl w:val="60AE796C"/>
    <w:lvl w:ilvl="0" w:tplc="C1768362">
      <w:start w:val="1"/>
      <w:numFmt w:val="lowerLetter"/>
      <w:lvlText w:val="%1)"/>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B033FC">
      <w:start w:val="1"/>
      <w:numFmt w:val="lowerLetter"/>
      <w:lvlText w:val="%2"/>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FF2EEB8">
      <w:start w:val="1"/>
      <w:numFmt w:val="lowerRoman"/>
      <w:lvlText w:val="%3"/>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7BA3D02">
      <w:start w:val="1"/>
      <w:numFmt w:val="decimal"/>
      <w:lvlText w:val="%4"/>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A4E3F2">
      <w:start w:val="1"/>
      <w:numFmt w:val="lowerLetter"/>
      <w:lvlText w:val="%5"/>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B80942">
      <w:start w:val="1"/>
      <w:numFmt w:val="lowerRoman"/>
      <w:lvlText w:val="%6"/>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76C8288">
      <w:start w:val="1"/>
      <w:numFmt w:val="decimal"/>
      <w:lvlText w:val="%7"/>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4AB782">
      <w:start w:val="1"/>
      <w:numFmt w:val="lowerLetter"/>
      <w:lvlText w:val="%8"/>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112DF90">
      <w:start w:val="1"/>
      <w:numFmt w:val="lowerRoman"/>
      <w:lvlText w:val="%9"/>
      <w:lvlJc w:val="left"/>
      <w:pPr>
        <w:ind w:left="7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3031947"/>
    <w:multiLevelType w:val="hybridMultilevel"/>
    <w:tmpl w:val="FF6437A8"/>
    <w:lvl w:ilvl="0" w:tplc="517EA798">
      <w:start w:val="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42D322C"/>
    <w:multiLevelType w:val="hybridMultilevel"/>
    <w:tmpl w:val="1CF89ED8"/>
    <w:lvl w:ilvl="0" w:tplc="5FBABFE8">
      <w:start w:val="1"/>
      <w:numFmt w:val="bullet"/>
      <w:lvlText w:val="✓"/>
      <w:lvlJc w:val="left"/>
      <w:pPr>
        <w:ind w:left="72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9A344CD6">
      <w:start w:val="1"/>
      <w:numFmt w:val="bullet"/>
      <w:lvlText w:val="o"/>
      <w:lvlJc w:val="left"/>
      <w:pPr>
        <w:ind w:left="154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1AF0F002">
      <w:start w:val="1"/>
      <w:numFmt w:val="bullet"/>
      <w:lvlText w:val="▪"/>
      <w:lvlJc w:val="left"/>
      <w:pPr>
        <w:ind w:left="226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3F10C016">
      <w:start w:val="1"/>
      <w:numFmt w:val="bullet"/>
      <w:lvlText w:val="•"/>
      <w:lvlJc w:val="left"/>
      <w:pPr>
        <w:ind w:left="298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91328DCA">
      <w:start w:val="1"/>
      <w:numFmt w:val="bullet"/>
      <w:lvlText w:val="o"/>
      <w:lvlJc w:val="left"/>
      <w:pPr>
        <w:ind w:left="370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2A24F1CC">
      <w:start w:val="1"/>
      <w:numFmt w:val="bullet"/>
      <w:lvlText w:val="▪"/>
      <w:lvlJc w:val="left"/>
      <w:pPr>
        <w:ind w:left="442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A4921888">
      <w:start w:val="1"/>
      <w:numFmt w:val="bullet"/>
      <w:lvlText w:val="•"/>
      <w:lvlJc w:val="left"/>
      <w:pPr>
        <w:ind w:left="514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7EDA0064">
      <w:start w:val="1"/>
      <w:numFmt w:val="bullet"/>
      <w:lvlText w:val="o"/>
      <w:lvlJc w:val="left"/>
      <w:pPr>
        <w:ind w:left="586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68480D5E">
      <w:start w:val="1"/>
      <w:numFmt w:val="bullet"/>
      <w:lvlText w:val="▪"/>
      <w:lvlJc w:val="left"/>
      <w:pPr>
        <w:ind w:left="658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45EC244F"/>
    <w:multiLevelType w:val="hybridMultilevel"/>
    <w:tmpl w:val="4782A9F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8DC71AA"/>
    <w:multiLevelType w:val="hybridMultilevel"/>
    <w:tmpl w:val="A364CCFE"/>
    <w:lvl w:ilvl="0" w:tplc="D724FB5A">
      <w:start w:val="1"/>
      <w:numFmt w:val="bullet"/>
      <w:lvlText w:val="❖"/>
      <w:lvlJc w:val="left"/>
      <w:pPr>
        <w:ind w:left="72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77D484CA">
      <w:start w:val="1"/>
      <w:numFmt w:val="bullet"/>
      <w:lvlText w:val="o"/>
      <w:lvlJc w:val="left"/>
      <w:pPr>
        <w:ind w:left="154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C246B20E">
      <w:start w:val="1"/>
      <w:numFmt w:val="bullet"/>
      <w:lvlText w:val="▪"/>
      <w:lvlJc w:val="left"/>
      <w:pPr>
        <w:ind w:left="226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768EBA5A">
      <w:start w:val="1"/>
      <w:numFmt w:val="bullet"/>
      <w:lvlText w:val="•"/>
      <w:lvlJc w:val="left"/>
      <w:pPr>
        <w:ind w:left="298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BC94124C">
      <w:start w:val="1"/>
      <w:numFmt w:val="bullet"/>
      <w:lvlText w:val="o"/>
      <w:lvlJc w:val="left"/>
      <w:pPr>
        <w:ind w:left="370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3BC2CB48">
      <w:start w:val="1"/>
      <w:numFmt w:val="bullet"/>
      <w:lvlText w:val="▪"/>
      <w:lvlJc w:val="left"/>
      <w:pPr>
        <w:ind w:left="442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19DC5EFC">
      <w:start w:val="1"/>
      <w:numFmt w:val="bullet"/>
      <w:lvlText w:val="•"/>
      <w:lvlJc w:val="left"/>
      <w:pPr>
        <w:ind w:left="514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6BAE7A08">
      <w:start w:val="1"/>
      <w:numFmt w:val="bullet"/>
      <w:lvlText w:val="o"/>
      <w:lvlJc w:val="left"/>
      <w:pPr>
        <w:ind w:left="586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E25EB80E">
      <w:start w:val="1"/>
      <w:numFmt w:val="bullet"/>
      <w:lvlText w:val="▪"/>
      <w:lvlJc w:val="left"/>
      <w:pPr>
        <w:ind w:left="658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4C1B5D86"/>
    <w:multiLevelType w:val="hybridMultilevel"/>
    <w:tmpl w:val="5D4A3610"/>
    <w:lvl w:ilvl="0" w:tplc="6FE8A0BA">
      <w:start w:val="1"/>
      <w:numFmt w:val="bullet"/>
      <w:lvlText w:val="•"/>
      <w:lvlJc w:val="left"/>
      <w:pPr>
        <w:ind w:left="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CB0C75E">
      <w:start w:val="1"/>
      <w:numFmt w:val="bullet"/>
      <w:lvlText w:val="o"/>
      <w:lvlJc w:val="left"/>
      <w:pPr>
        <w:ind w:left="15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85E0E66">
      <w:start w:val="1"/>
      <w:numFmt w:val="bullet"/>
      <w:lvlText w:val="▪"/>
      <w:lvlJc w:val="left"/>
      <w:pPr>
        <w:ind w:left="22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D428C14">
      <w:start w:val="1"/>
      <w:numFmt w:val="bullet"/>
      <w:lvlText w:val="•"/>
      <w:lvlJc w:val="left"/>
      <w:pPr>
        <w:ind w:left="29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C462F38">
      <w:start w:val="1"/>
      <w:numFmt w:val="bullet"/>
      <w:lvlText w:val="o"/>
      <w:lvlJc w:val="left"/>
      <w:pPr>
        <w:ind w:left="37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6CAE35A">
      <w:start w:val="1"/>
      <w:numFmt w:val="bullet"/>
      <w:lvlText w:val="▪"/>
      <w:lvlJc w:val="left"/>
      <w:pPr>
        <w:ind w:left="44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91EB6CC">
      <w:start w:val="1"/>
      <w:numFmt w:val="bullet"/>
      <w:lvlText w:val="•"/>
      <w:lvlJc w:val="left"/>
      <w:pPr>
        <w:ind w:left="51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2FE225E">
      <w:start w:val="1"/>
      <w:numFmt w:val="bullet"/>
      <w:lvlText w:val="o"/>
      <w:lvlJc w:val="left"/>
      <w:pPr>
        <w:ind w:left="58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BC2F968">
      <w:start w:val="1"/>
      <w:numFmt w:val="bullet"/>
      <w:lvlText w:val="▪"/>
      <w:lvlJc w:val="left"/>
      <w:pPr>
        <w:ind w:left="65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4D450616"/>
    <w:multiLevelType w:val="hybridMultilevel"/>
    <w:tmpl w:val="75D2903C"/>
    <w:lvl w:ilvl="0" w:tplc="79DEC7F6">
      <w:start w:val="9"/>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4785911"/>
    <w:multiLevelType w:val="hybridMultilevel"/>
    <w:tmpl w:val="5CCA13A4"/>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4C37959"/>
    <w:multiLevelType w:val="hybridMultilevel"/>
    <w:tmpl w:val="307C725C"/>
    <w:lvl w:ilvl="0" w:tplc="ADF65CCE">
      <w:start w:val="6"/>
      <w:numFmt w:val="decimal"/>
      <w:lvlText w:val="%1."/>
      <w:lvlJc w:val="left"/>
      <w:pPr>
        <w:ind w:left="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04C09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2299A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52429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567F9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11E8EE2">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60522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1CA06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A2B46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BF0430C"/>
    <w:multiLevelType w:val="hybridMultilevel"/>
    <w:tmpl w:val="CC36C6BA"/>
    <w:lvl w:ilvl="0" w:tplc="4D064458">
      <w:start w:val="11"/>
      <w:numFmt w:val="decimal"/>
      <w:lvlText w:val="%1."/>
      <w:lvlJc w:val="left"/>
      <w:pPr>
        <w:ind w:left="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BA9DDA">
      <w:start w:val="1"/>
      <w:numFmt w:val="lowerLetter"/>
      <w:lvlText w:val="%2"/>
      <w:lvlJc w:val="left"/>
      <w:pPr>
        <w:ind w:left="1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78BE32">
      <w:start w:val="1"/>
      <w:numFmt w:val="lowerRoman"/>
      <w:lvlText w:val="%3"/>
      <w:lvlJc w:val="left"/>
      <w:pPr>
        <w:ind w:left="24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942C58">
      <w:start w:val="1"/>
      <w:numFmt w:val="decimal"/>
      <w:lvlText w:val="%4"/>
      <w:lvlJc w:val="left"/>
      <w:pPr>
        <w:ind w:left="3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CAC676">
      <w:start w:val="1"/>
      <w:numFmt w:val="lowerLetter"/>
      <w:lvlText w:val="%5"/>
      <w:lvlJc w:val="left"/>
      <w:pPr>
        <w:ind w:left="3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38EC946">
      <w:start w:val="1"/>
      <w:numFmt w:val="lowerRoman"/>
      <w:lvlText w:val="%6"/>
      <w:lvlJc w:val="left"/>
      <w:pPr>
        <w:ind w:left="45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70BA6A">
      <w:start w:val="1"/>
      <w:numFmt w:val="decimal"/>
      <w:lvlText w:val="%7"/>
      <w:lvlJc w:val="left"/>
      <w:pPr>
        <w:ind w:left="52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0E71EA">
      <w:start w:val="1"/>
      <w:numFmt w:val="lowerLetter"/>
      <w:lvlText w:val="%8"/>
      <w:lvlJc w:val="left"/>
      <w:pPr>
        <w:ind w:left="60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F4657C8">
      <w:start w:val="1"/>
      <w:numFmt w:val="lowerRoman"/>
      <w:lvlText w:val="%9"/>
      <w:lvlJc w:val="left"/>
      <w:pPr>
        <w:ind w:left="6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FDD5E40"/>
    <w:multiLevelType w:val="hybridMultilevel"/>
    <w:tmpl w:val="F9D6097C"/>
    <w:lvl w:ilvl="0" w:tplc="453C86F6">
      <w:numFmt w:val="bullet"/>
      <w:lvlText w:val="-"/>
      <w:lvlJc w:val="left"/>
      <w:pPr>
        <w:ind w:left="964" w:hanging="360"/>
      </w:pPr>
      <w:rPr>
        <w:rFonts w:ascii="Times New Roman" w:eastAsia="Calibri" w:hAnsi="Times New Roman" w:cs="Times New Roman" w:hint="default"/>
      </w:rPr>
    </w:lvl>
    <w:lvl w:ilvl="1" w:tplc="040C0003" w:tentative="1">
      <w:start w:val="1"/>
      <w:numFmt w:val="bullet"/>
      <w:lvlText w:val="o"/>
      <w:lvlJc w:val="left"/>
      <w:pPr>
        <w:ind w:left="1684" w:hanging="360"/>
      </w:pPr>
      <w:rPr>
        <w:rFonts w:ascii="Courier New" w:hAnsi="Courier New" w:cs="Courier New" w:hint="default"/>
      </w:rPr>
    </w:lvl>
    <w:lvl w:ilvl="2" w:tplc="040C0005" w:tentative="1">
      <w:start w:val="1"/>
      <w:numFmt w:val="bullet"/>
      <w:lvlText w:val=""/>
      <w:lvlJc w:val="left"/>
      <w:pPr>
        <w:ind w:left="2404" w:hanging="360"/>
      </w:pPr>
      <w:rPr>
        <w:rFonts w:ascii="Wingdings" w:hAnsi="Wingdings" w:hint="default"/>
      </w:rPr>
    </w:lvl>
    <w:lvl w:ilvl="3" w:tplc="040C0001" w:tentative="1">
      <w:start w:val="1"/>
      <w:numFmt w:val="bullet"/>
      <w:lvlText w:val=""/>
      <w:lvlJc w:val="left"/>
      <w:pPr>
        <w:ind w:left="3124" w:hanging="360"/>
      </w:pPr>
      <w:rPr>
        <w:rFonts w:ascii="Symbol" w:hAnsi="Symbol" w:hint="default"/>
      </w:rPr>
    </w:lvl>
    <w:lvl w:ilvl="4" w:tplc="040C0003" w:tentative="1">
      <w:start w:val="1"/>
      <w:numFmt w:val="bullet"/>
      <w:lvlText w:val="o"/>
      <w:lvlJc w:val="left"/>
      <w:pPr>
        <w:ind w:left="3844" w:hanging="360"/>
      </w:pPr>
      <w:rPr>
        <w:rFonts w:ascii="Courier New" w:hAnsi="Courier New" w:cs="Courier New" w:hint="default"/>
      </w:rPr>
    </w:lvl>
    <w:lvl w:ilvl="5" w:tplc="040C0005" w:tentative="1">
      <w:start w:val="1"/>
      <w:numFmt w:val="bullet"/>
      <w:lvlText w:val=""/>
      <w:lvlJc w:val="left"/>
      <w:pPr>
        <w:ind w:left="4564" w:hanging="360"/>
      </w:pPr>
      <w:rPr>
        <w:rFonts w:ascii="Wingdings" w:hAnsi="Wingdings" w:hint="default"/>
      </w:rPr>
    </w:lvl>
    <w:lvl w:ilvl="6" w:tplc="040C0001" w:tentative="1">
      <w:start w:val="1"/>
      <w:numFmt w:val="bullet"/>
      <w:lvlText w:val=""/>
      <w:lvlJc w:val="left"/>
      <w:pPr>
        <w:ind w:left="5284" w:hanging="360"/>
      </w:pPr>
      <w:rPr>
        <w:rFonts w:ascii="Symbol" w:hAnsi="Symbol" w:hint="default"/>
      </w:rPr>
    </w:lvl>
    <w:lvl w:ilvl="7" w:tplc="040C0003" w:tentative="1">
      <w:start w:val="1"/>
      <w:numFmt w:val="bullet"/>
      <w:lvlText w:val="o"/>
      <w:lvlJc w:val="left"/>
      <w:pPr>
        <w:ind w:left="6004" w:hanging="360"/>
      </w:pPr>
      <w:rPr>
        <w:rFonts w:ascii="Courier New" w:hAnsi="Courier New" w:cs="Courier New" w:hint="default"/>
      </w:rPr>
    </w:lvl>
    <w:lvl w:ilvl="8" w:tplc="040C0005" w:tentative="1">
      <w:start w:val="1"/>
      <w:numFmt w:val="bullet"/>
      <w:lvlText w:val=""/>
      <w:lvlJc w:val="left"/>
      <w:pPr>
        <w:ind w:left="6724" w:hanging="360"/>
      </w:pPr>
      <w:rPr>
        <w:rFonts w:ascii="Wingdings" w:hAnsi="Wingdings" w:hint="default"/>
      </w:rPr>
    </w:lvl>
  </w:abstractNum>
  <w:abstractNum w:abstractNumId="20" w15:restartNumberingAfterBreak="0">
    <w:nsid w:val="6AC95F8B"/>
    <w:multiLevelType w:val="hybridMultilevel"/>
    <w:tmpl w:val="1FE63F6E"/>
    <w:lvl w:ilvl="0" w:tplc="AA146E9A">
      <w:start w:val="7"/>
      <w:numFmt w:val="decimal"/>
      <w:lvlText w:val="%1."/>
      <w:lvlJc w:val="left"/>
      <w:pPr>
        <w:ind w:left="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D41A1E">
      <w:start w:val="1"/>
      <w:numFmt w:val="upperLetter"/>
      <w:lvlText w:val="%2."/>
      <w:lvlJc w:val="left"/>
      <w:pPr>
        <w:ind w:left="1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D364240">
      <w:start w:val="1"/>
      <w:numFmt w:val="lowerRoman"/>
      <w:lvlText w:val="%3"/>
      <w:lvlJc w:val="left"/>
      <w:pPr>
        <w:ind w:left="23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392DAFA">
      <w:start w:val="1"/>
      <w:numFmt w:val="decimal"/>
      <w:lvlText w:val="%4"/>
      <w:lvlJc w:val="left"/>
      <w:pPr>
        <w:ind w:left="30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72F7A8">
      <w:start w:val="1"/>
      <w:numFmt w:val="lowerLetter"/>
      <w:lvlText w:val="%5"/>
      <w:lvlJc w:val="left"/>
      <w:pPr>
        <w:ind w:left="37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1A667E4">
      <w:start w:val="1"/>
      <w:numFmt w:val="lowerRoman"/>
      <w:lvlText w:val="%6"/>
      <w:lvlJc w:val="left"/>
      <w:pPr>
        <w:ind w:left="44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0A7574">
      <w:start w:val="1"/>
      <w:numFmt w:val="decimal"/>
      <w:lvlText w:val="%7"/>
      <w:lvlJc w:val="left"/>
      <w:pPr>
        <w:ind w:left="51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BE1E7E">
      <w:start w:val="1"/>
      <w:numFmt w:val="lowerLetter"/>
      <w:lvlText w:val="%8"/>
      <w:lvlJc w:val="left"/>
      <w:pPr>
        <w:ind w:left="59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66040E">
      <w:start w:val="1"/>
      <w:numFmt w:val="lowerRoman"/>
      <w:lvlText w:val="%9"/>
      <w:lvlJc w:val="left"/>
      <w:pPr>
        <w:ind w:left="6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D9125FC"/>
    <w:multiLevelType w:val="hybridMultilevel"/>
    <w:tmpl w:val="CCC67D3A"/>
    <w:lvl w:ilvl="0" w:tplc="8D244262">
      <w:start w:val="1"/>
      <w:numFmt w:val="bullet"/>
      <w:lvlText w:val="❖"/>
      <w:lvlJc w:val="left"/>
      <w:pPr>
        <w:ind w:left="72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16A87CE0">
      <w:start w:val="1"/>
      <w:numFmt w:val="bullet"/>
      <w:lvlText w:val="o"/>
      <w:lvlJc w:val="left"/>
      <w:pPr>
        <w:ind w:left="154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3A182766">
      <w:start w:val="1"/>
      <w:numFmt w:val="bullet"/>
      <w:lvlText w:val="▪"/>
      <w:lvlJc w:val="left"/>
      <w:pPr>
        <w:ind w:left="226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E99202B0">
      <w:start w:val="1"/>
      <w:numFmt w:val="bullet"/>
      <w:lvlText w:val="•"/>
      <w:lvlJc w:val="left"/>
      <w:pPr>
        <w:ind w:left="298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7FBE1948">
      <w:start w:val="1"/>
      <w:numFmt w:val="bullet"/>
      <w:lvlText w:val="o"/>
      <w:lvlJc w:val="left"/>
      <w:pPr>
        <w:ind w:left="370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687849E4">
      <w:start w:val="1"/>
      <w:numFmt w:val="bullet"/>
      <w:lvlText w:val="▪"/>
      <w:lvlJc w:val="left"/>
      <w:pPr>
        <w:ind w:left="442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27BA6A28">
      <w:start w:val="1"/>
      <w:numFmt w:val="bullet"/>
      <w:lvlText w:val="•"/>
      <w:lvlJc w:val="left"/>
      <w:pPr>
        <w:ind w:left="514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EE04D214">
      <w:start w:val="1"/>
      <w:numFmt w:val="bullet"/>
      <w:lvlText w:val="o"/>
      <w:lvlJc w:val="left"/>
      <w:pPr>
        <w:ind w:left="586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CBC28774">
      <w:start w:val="1"/>
      <w:numFmt w:val="bullet"/>
      <w:lvlText w:val="▪"/>
      <w:lvlJc w:val="left"/>
      <w:pPr>
        <w:ind w:left="658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6ED7786E"/>
    <w:multiLevelType w:val="hybridMultilevel"/>
    <w:tmpl w:val="A768F108"/>
    <w:lvl w:ilvl="0" w:tplc="49BAD77C">
      <w:start w:val="1"/>
      <w:numFmt w:val="decimal"/>
      <w:lvlText w:val="%1."/>
      <w:lvlJc w:val="left"/>
      <w:pPr>
        <w:ind w:left="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E27774">
      <w:start w:val="1"/>
      <w:numFmt w:val="bullet"/>
      <w:lvlText w:val="✓"/>
      <w:lvlJc w:val="left"/>
      <w:pPr>
        <w:ind w:left="16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DF614A0">
      <w:start w:val="1"/>
      <w:numFmt w:val="bullet"/>
      <w:lvlText w:val="▪"/>
      <w:lvlJc w:val="left"/>
      <w:pPr>
        <w:ind w:left="21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388D12A">
      <w:start w:val="1"/>
      <w:numFmt w:val="bullet"/>
      <w:lvlText w:val="•"/>
      <w:lvlJc w:val="left"/>
      <w:pPr>
        <w:ind w:left="28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9A676B8">
      <w:start w:val="1"/>
      <w:numFmt w:val="bullet"/>
      <w:lvlText w:val="o"/>
      <w:lvlJc w:val="left"/>
      <w:pPr>
        <w:ind w:left="36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486D8C6">
      <w:start w:val="1"/>
      <w:numFmt w:val="bullet"/>
      <w:lvlText w:val="▪"/>
      <w:lvlJc w:val="left"/>
      <w:pPr>
        <w:ind w:left="43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7BEA400">
      <w:start w:val="1"/>
      <w:numFmt w:val="bullet"/>
      <w:lvlText w:val="•"/>
      <w:lvlJc w:val="left"/>
      <w:pPr>
        <w:ind w:left="50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E945944">
      <w:start w:val="1"/>
      <w:numFmt w:val="bullet"/>
      <w:lvlText w:val="o"/>
      <w:lvlJc w:val="left"/>
      <w:pPr>
        <w:ind w:left="57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82CC726">
      <w:start w:val="1"/>
      <w:numFmt w:val="bullet"/>
      <w:lvlText w:val="▪"/>
      <w:lvlJc w:val="left"/>
      <w:pPr>
        <w:ind w:left="64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11A4F68"/>
    <w:multiLevelType w:val="hybridMultilevel"/>
    <w:tmpl w:val="06ECE5FA"/>
    <w:lvl w:ilvl="0" w:tplc="453C86F6">
      <w:numFmt w:val="bullet"/>
      <w:lvlText w:val="-"/>
      <w:lvlJc w:val="left"/>
      <w:pPr>
        <w:ind w:left="964" w:hanging="360"/>
      </w:pPr>
      <w:rPr>
        <w:rFonts w:ascii="Times New Roman" w:eastAsia="Calibri" w:hAnsi="Times New Roman" w:cs="Times New Roman" w:hint="default"/>
      </w:rPr>
    </w:lvl>
    <w:lvl w:ilvl="1" w:tplc="040C0003" w:tentative="1">
      <w:start w:val="1"/>
      <w:numFmt w:val="bullet"/>
      <w:lvlText w:val="o"/>
      <w:lvlJc w:val="left"/>
      <w:pPr>
        <w:ind w:left="1684" w:hanging="360"/>
      </w:pPr>
      <w:rPr>
        <w:rFonts w:ascii="Courier New" w:hAnsi="Courier New" w:cs="Courier New" w:hint="default"/>
      </w:rPr>
    </w:lvl>
    <w:lvl w:ilvl="2" w:tplc="040C0005" w:tentative="1">
      <w:start w:val="1"/>
      <w:numFmt w:val="bullet"/>
      <w:lvlText w:val=""/>
      <w:lvlJc w:val="left"/>
      <w:pPr>
        <w:ind w:left="2404" w:hanging="360"/>
      </w:pPr>
      <w:rPr>
        <w:rFonts w:ascii="Wingdings" w:hAnsi="Wingdings" w:hint="default"/>
      </w:rPr>
    </w:lvl>
    <w:lvl w:ilvl="3" w:tplc="040C0001" w:tentative="1">
      <w:start w:val="1"/>
      <w:numFmt w:val="bullet"/>
      <w:lvlText w:val=""/>
      <w:lvlJc w:val="left"/>
      <w:pPr>
        <w:ind w:left="3124" w:hanging="360"/>
      </w:pPr>
      <w:rPr>
        <w:rFonts w:ascii="Symbol" w:hAnsi="Symbol" w:hint="default"/>
      </w:rPr>
    </w:lvl>
    <w:lvl w:ilvl="4" w:tplc="040C0003" w:tentative="1">
      <w:start w:val="1"/>
      <w:numFmt w:val="bullet"/>
      <w:lvlText w:val="o"/>
      <w:lvlJc w:val="left"/>
      <w:pPr>
        <w:ind w:left="3844" w:hanging="360"/>
      </w:pPr>
      <w:rPr>
        <w:rFonts w:ascii="Courier New" w:hAnsi="Courier New" w:cs="Courier New" w:hint="default"/>
      </w:rPr>
    </w:lvl>
    <w:lvl w:ilvl="5" w:tplc="040C0005" w:tentative="1">
      <w:start w:val="1"/>
      <w:numFmt w:val="bullet"/>
      <w:lvlText w:val=""/>
      <w:lvlJc w:val="left"/>
      <w:pPr>
        <w:ind w:left="4564" w:hanging="360"/>
      </w:pPr>
      <w:rPr>
        <w:rFonts w:ascii="Wingdings" w:hAnsi="Wingdings" w:hint="default"/>
      </w:rPr>
    </w:lvl>
    <w:lvl w:ilvl="6" w:tplc="040C0001" w:tentative="1">
      <w:start w:val="1"/>
      <w:numFmt w:val="bullet"/>
      <w:lvlText w:val=""/>
      <w:lvlJc w:val="left"/>
      <w:pPr>
        <w:ind w:left="5284" w:hanging="360"/>
      </w:pPr>
      <w:rPr>
        <w:rFonts w:ascii="Symbol" w:hAnsi="Symbol" w:hint="default"/>
      </w:rPr>
    </w:lvl>
    <w:lvl w:ilvl="7" w:tplc="040C0003" w:tentative="1">
      <w:start w:val="1"/>
      <w:numFmt w:val="bullet"/>
      <w:lvlText w:val="o"/>
      <w:lvlJc w:val="left"/>
      <w:pPr>
        <w:ind w:left="6004" w:hanging="360"/>
      </w:pPr>
      <w:rPr>
        <w:rFonts w:ascii="Courier New" w:hAnsi="Courier New" w:cs="Courier New" w:hint="default"/>
      </w:rPr>
    </w:lvl>
    <w:lvl w:ilvl="8" w:tplc="040C0005" w:tentative="1">
      <w:start w:val="1"/>
      <w:numFmt w:val="bullet"/>
      <w:lvlText w:val=""/>
      <w:lvlJc w:val="left"/>
      <w:pPr>
        <w:ind w:left="6724" w:hanging="360"/>
      </w:pPr>
      <w:rPr>
        <w:rFonts w:ascii="Wingdings" w:hAnsi="Wingdings" w:hint="default"/>
      </w:rPr>
    </w:lvl>
  </w:abstractNum>
  <w:abstractNum w:abstractNumId="24" w15:restartNumberingAfterBreak="0">
    <w:nsid w:val="75FC0D0A"/>
    <w:multiLevelType w:val="hybridMultilevel"/>
    <w:tmpl w:val="DCA0A18E"/>
    <w:lvl w:ilvl="0" w:tplc="517EA798">
      <w:start w:val="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6A735AE"/>
    <w:multiLevelType w:val="hybridMultilevel"/>
    <w:tmpl w:val="20F4BAAC"/>
    <w:lvl w:ilvl="0" w:tplc="084ED890">
      <w:start w:val="1"/>
      <w:numFmt w:val="decimal"/>
      <w:lvlText w:val="%1."/>
      <w:lvlJc w:val="left"/>
      <w:pPr>
        <w:ind w:left="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F20A56">
      <w:start w:val="1"/>
      <w:numFmt w:val="lowerLetter"/>
      <w:lvlText w:val="%2"/>
      <w:lvlJc w:val="left"/>
      <w:pPr>
        <w:ind w:left="1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3AF600">
      <w:start w:val="1"/>
      <w:numFmt w:val="lowerRoman"/>
      <w:lvlText w:val="%3"/>
      <w:lvlJc w:val="left"/>
      <w:pPr>
        <w:ind w:left="22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9845BE">
      <w:start w:val="1"/>
      <w:numFmt w:val="decimal"/>
      <w:lvlText w:val="%4"/>
      <w:lvlJc w:val="left"/>
      <w:pPr>
        <w:ind w:left="30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BAEDAC">
      <w:start w:val="1"/>
      <w:numFmt w:val="lowerLetter"/>
      <w:lvlText w:val="%5"/>
      <w:lvlJc w:val="left"/>
      <w:pPr>
        <w:ind w:left="3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507D40">
      <w:start w:val="1"/>
      <w:numFmt w:val="lowerRoman"/>
      <w:lvlText w:val="%6"/>
      <w:lvlJc w:val="left"/>
      <w:pPr>
        <w:ind w:left="44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B00CA0">
      <w:start w:val="1"/>
      <w:numFmt w:val="decimal"/>
      <w:lvlText w:val="%7"/>
      <w:lvlJc w:val="left"/>
      <w:pPr>
        <w:ind w:left="51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1255DC">
      <w:start w:val="1"/>
      <w:numFmt w:val="lowerLetter"/>
      <w:lvlText w:val="%8"/>
      <w:lvlJc w:val="left"/>
      <w:pPr>
        <w:ind w:left="58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D2CE06">
      <w:start w:val="1"/>
      <w:numFmt w:val="lowerRoman"/>
      <w:lvlText w:val="%9"/>
      <w:lvlJc w:val="left"/>
      <w:pPr>
        <w:ind w:left="66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9D40C62"/>
    <w:multiLevelType w:val="hybridMultilevel"/>
    <w:tmpl w:val="C6D2F6B2"/>
    <w:lvl w:ilvl="0" w:tplc="79DEC7F6">
      <w:start w:val="9"/>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B791A00"/>
    <w:multiLevelType w:val="hybridMultilevel"/>
    <w:tmpl w:val="29FACC5C"/>
    <w:lvl w:ilvl="0" w:tplc="9466BBE0">
      <w:start w:val="1"/>
      <w:numFmt w:val="bullet"/>
      <w:lvlText w:val="•"/>
      <w:lvlJc w:val="left"/>
      <w:pPr>
        <w:ind w:left="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34928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248679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E296B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D45F4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62E27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658F1E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0E94D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18CF03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CC74330"/>
    <w:multiLevelType w:val="hybridMultilevel"/>
    <w:tmpl w:val="9A461A6E"/>
    <w:lvl w:ilvl="0" w:tplc="6AB89DD4">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840EC8A">
      <w:start w:val="1"/>
      <w:numFmt w:val="bullet"/>
      <w:lvlText w:val="o"/>
      <w:lvlJc w:val="left"/>
      <w:pPr>
        <w:ind w:left="15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25EDC38">
      <w:start w:val="1"/>
      <w:numFmt w:val="bullet"/>
      <w:lvlText w:val="▪"/>
      <w:lvlJc w:val="left"/>
      <w:pPr>
        <w:ind w:left="22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FAEA7FC">
      <w:start w:val="1"/>
      <w:numFmt w:val="bullet"/>
      <w:lvlText w:val="•"/>
      <w:lvlJc w:val="left"/>
      <w:pPr>
        <w:ind w:left="29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9921BE2">
      <w:start w:val="1"/>
      <w:numFmt w:val="bullet"/>
      <w:lvlText w:val="o"/>
      <w:lvlJc w:val="left"/>
      <w:pPr>
        <w:ind w:left="37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AFE944C">
      <w:start w:val="1"/>
      <w:numFmt w:val="bullet"/>
      <w:lvlText w:val="▪"/>
      <w:lvlJc w:val="left"/>
      <w:pPr>
        <w:ind w:left="44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76A055C">
      <w:start w:val="1"/>
      <w:numFmt w:val="bullet"/>
      <w:lvlText w:val="•"/>
      <w:lvlJc w:val="left"/>
      <w:pPr>
        <w:ind w:left="51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45EC65E">
      <w:start w:val="1"/>
      <w:numFmt w:val="bullet"/>
      <w:lvlText w:val="o"/>
      <w:lvlJc w:val="left"/>
      <w:pPr>
        <w:ind w:left="58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884CE96">
      <w:start w:val="1"/>
      <w:numFmt w:val="bullet"/>
      <w:lvlText w:val="▪"/>
      <w:lvlJc w:val="left"/>
      <w:pPr>
        <w:ind w:left="65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7EEC0A6B"/>
    <w:multiLevelType w:val="hybridMultilevel"/>
    <w:tmpl w:val="CD00FFC0"/>
    <w:lvl w:ilvl="0" w:tplc="11BE121C">
      <w:start w:val="1"/>
      <w:numFmt w:val="lowerLetter"/>
      <w:lvlText w:val="%1)"/>
      <w:lvlJc w:val="left"/>
      <w:pPr>
        <w:ind w:left="7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EAA6596">
      <w:start w:val="1"/>
      <w:numFmt w:val="lowerLetter"/>
      <w:lvlText w:val="%2"/>
      <w:lvlJc w:val="left"/>
      <w:pPr>
        <w:ind w:left="15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1D48942">
      <w:start w:val="1"/>
      <w:numFmt w:val="lowerRoman"/>
      <w:lvlText w:val="%3"/>
      <w:lvlJc w:val="left"/>
      <w:pPr>
        <w:ind w:left="22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9421112">
      <w:start w:val="1"/>
      <w:numFmt w:val="decimal"/>
      <w:lvlText w:val="%4"/>
      <w:lvlJc w:val="left"/>
      <w:pPr>
        <w:ind w:left="29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C70FC6A">
      <w:start w:val="1"/>
      <w:numFmt w:val="lowerLetter"/>
      <w:lvlText w:val="%5"/>
      <w:lvlJc w:val="left"/>
      <w:pPr>
        <w:ind w:left="37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D963914">
      <w:start w:val="1"/>
      <w:numFmt w:val="lowerRoman"/>
      <w:lvlText w:val="%6"/>
      <w:lvlJc w:val="left"/>
      <w:pPr>
        <w:ind w:left="44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0DE4512">
      <w:start w:val="1"/>
      <w:numFmt w:val="decimal"/>
      <w:lvlText w:val="%7"/>
      <w:lvlJc w:val="left"/>
      <w:pPr>
        <w:ind w:left="5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5B29808">
      <w:start w:val="1"/>
      <w:numFmt w:val="lowerLetter"/>
      <w:lvlText w:val="%8"/>
      <w:lvlJc w:val="left"/>
      <w:pPr>
        <w:ind w:left="58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5DAF348">
      <w:start w:val="1"/>
      <w:numFmt w:val="lowerRoman"/>
      <w:lvlText w:val="%9"/>
      <w:lvlJc w:val="left"/>
      <w:pPr>
        <w:ind w:left="65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613446523">
    <w:abstractNumId w:val="25"/>
  </w:num>
  <w:num w:numId="2" w16cid:durableId="1706982751">
    <w:abstractNumId w:val="9"/>
  </w:num>
  <w:num w:numId="3" w16cid:durableId="809447269">
    <w:abstractNumId w:val="20"/>
  </w:num>
  <w:num w:numId="4" w16cid:durableId="1702901349">
    <w:abstractNumId w:val="18"/>
  </w:num>
  <w:num w:numId="5" w16cid:durableId="1497843740">
    <w:abstractNumId w:val="22"/>
  </w:num>
  <w:num w:numId="6" w16cid:durableId="1323780599">
    <w:abstractNumId w:val="17"/>
  </w:num>
  <w:num w:numId="7" w16cid:durableId="1225602283">
    <w:abstractNumId w:val="27"/>
  </w:num>
  <w:num w:numId="8" w16cid:durableId="1392540681">
    <w:abstractNumId w:val="2"/>
  </w:num>
  <w:num w:numId="9" w16cid:durableId="188644868">
    <w:abstractNumId w:val="29"/>
  </w:num>
  <w:num w:numId="10" w16cid:durableId="1434589659">
    <w:abstractNumId w:val="11"/>
  </w:num>
  <w:num w:numId="11" w16cid:durableId="286786357">
    <w:abstractNumId w:val="21"/>
  </w:num>
  <w:num w:numId="12" w16cid:durableId="1292059797">
    <w:abstractNumId w:val="13"/>
  </w:num>
  <w:num w:numId="13" w16cid:durableId="2017879144">
    <w:abstractNumId w:val="14"/>
  </w:num>
  <w:num w:numId="14" w16cid:durableId="2020111680">
    <w:abstractNumId w:val="5"/>
  </w:num>
  <w:num w:numId="15" w16cid:durableId="1642032717">
    <w:abstractNumId w:val="28"/>
  </w:num>
  <w:num w:numId="16" w16cid:durableId="2020155394">
    <w:abstractNumId w:val="0"/>
  </w:num>
  <w:num w:numId="17" w16cid:durableId="1584755648">
    <w:abstractNumId w:val="8"/>
  </w:num>
  <w:num w:numId="18" w16cid:durableId="656500557">
    <w:abstractNumId w:val="26"/>
  </w:num>
  <w:num w:numId="19" w16cid:durableId="1725986683">
    <w:abstractNumId w:val="6"/>
  </w:num>
  <w:num w:numId="20" w16cid:durableId="352270800">
    <w:abstractNumId w:val="24"/>
  </w:num>
  <w:num w:numId="21" w16cid:durableId="1962494275">
    <w:abstractNumId w:val="15"/>
  </w:num>
  <w:num w:numId="22" w16cid:durableId="781723925">
    <w:abstractNumId w:val="10"/>
  </w:num>
  <w:num w:numId="23" w16cid:durableId="1208764359">
    <w:abstractNumId w:val="1"/>
  </w:num>
  <w:num w:numId="24" w16cid:durableId="1794514770">
    <w:abstractNumId w:val="16"/>
  </w:num>
  <w:num w:numId="25" w16cid:durableId="1105199809">
    <w:abstractNumId w:val="12"/>
  </w:num>
  <w:num w:numId="26" w16cid:durableId="543172881">
    <w:abstractNumId w:val="4"/>
  </w:num>
  <w:num w:numId="27" w16cid:durableId="1166090988">
    <w:abstractNumId w:val="19"/>
  </w:num>
  <w:num w:numId="28" w16cid:durableId="2041006729">
    <w:abstractNumId w:val="7"/>
  </w:num>
  <w:num w:numId="29" w16cid:durableId="1459956906">
    <w:abstractNumId w:val="3"/>
  </w:num>
  <w:num w:numId="30" w16cid:durableId="13186073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FE5"/>
    <w:rsid w:val="00027903"/>
    <w:rsid w:val="00030432"/>
    <w:rsid w:val="00034C70"/>
    <w:rsid w:val="00051972"/>
    <w:rsid w:val="000531FB"/>
    <w:rsid w:val="0005787A"/>
    <w:rsid w:val="000604F7"/>
    <w:rsid w:val="00065274"/>
    <w:rsid w:val="00066598"/>
    <w:rsid w:val="00094428"/>
    <w:rsid w:val="000A7394"/>
    <w:rsid w:val="000B0E8B"/>
    <w:rsid w:val="000D5C26"/>
    <w:rsid w:val="001013BE"/>
    <w:rsid w:val="00110D00"/>
    <w:rsid w:val="00132FB2"/>
    <w:rsid w:val="00141404"/>
    <w:rsid w:val="00142C04"/>
    <w:rsid w:val="00156D0A"/>
    <w:rsid w:val="00165D35"/>
    <w:rsid w:val="0017135C"/>
    <w:rsid w:val="001763EA"/>
    <w:rsid w:val="00186193"/>
    <w:rsid w:val="0019125B"/>
    <w:rsid w:val="001C117D"/>
    <w:rsid w:val="001C2BCF"/>
    <w:rsid w:val="001F2361"/>
    <w:rsid w:val="001F49BB"/>
    <w:rsid w:val="00204247"/>
    <w:rsid w:val="0021543E"/>
    <w:rsid w:val="002159D8"/>
    <w:rsid w:val="002317A2"/>
    <w:rsid w:val="002348CC"/>
    <w:rsid w:val="00236945"/>
    <w:rsid w:val="00252560"/>
    <w:rsid w:val="00255AEB"/>
    <w:rsid w:val="0027391B"/>
    <w:rsid w:val="00292310"/>
    <w:rsid w:val="0029525D"/>
    <w:rsid w:val="002A095B"/>
    <w:rsid w:val="002A0A4C"/>
    <w:rsid w:val="002B11E3"/>
    <w:rsid w:val="002C1506"/>
    <w:rsid w:val="002C449F"/>
    <w:rsid w:val="002D09EB"/>
    <w:rsid w:val="002E5020"/>
    <w:rsid w:val="002F47D3"/>
    <w:rsid w:val="002F5BA9"/>
    <w:rsid w:val="00321279"/>
    <w:rsid w:val="003559BD"/>
    <w:rsid w:val="00361258"/>
    <w:rsid w:val="003A0BC9"/>
    <w:rsid w:val="003A4A3D"/>
    <w:rsid w:val="003B162C"/>
    <w:rsid w:val="003B16CB"/>
    <w:rsid w:val="003B1964"/>
    <w:rsid w:val="003B43E6"/>
    <w:rsid w:val="0040062E"/>
    <w:rsid w:val="00400763"/>
    <w:rsid w:val="00403EEF"/>
    <w:rsid w:val="00407042"/>
    <w:rsid w:val="00423D53"/>
    <w:rsid w:val="00425EF3"/>
    <w:rsid w:val="00431E69"/>
    <w:rsid w:val="00437897"/>
    <w:rsid w:val="00446A27"/>
    <w:rsid w:val="00446C43"/>
    <w:rsid w:val="00463C3F"/>
    <w:rsid w:val="00474004"/>
    <w:rsid w:val="00484E21"/>
    <w:rsid w:val="004A2136"/>
    <w:rsid w:val="004A448F"/>
    <w:rsid w:val="004B4384"/>
    <w:rsid w:val="004C1D0E"/>
    <w:rsid w:val="004C3B28"/>
    <w:rsid w:val="004C7F5F"/>
    <w:rsid w:val="004D401A"/>
    <w:rsid w:val="004E3D39"/>
    <w:rsid w:val="004E650E"/>
    <w:rsid w:val="004E7EFA"/>
    <w:rsid w:val="004F441D"/>
    <w:rsid w:val="00503EB1"/>
    <w:rsid w:val="0050730E"/>
    <w:rsid w:val="005107DF"/>
    <w:rsid w:val="005240DD"/>
    <w:rsid w:val="00525B20"/>
    <w:rsid w:val="00525FF3"/>
    <w:rsid w:val="005463F1"/>
    <w:rsid w:val="005635DC"/>
    <w:rsid w:val="00565FE5"/>
    <w:rsid w:val="00567B9F"/>
    <w:rsid w:val="00582FBC"/>
    <w:rsid w:val="00592F8D"/>
    <w:rsid w:val="00594573"/>
    <w:rsid w:val="005A613A"/>
    <w:rsid w:val="005B6718"/>
    <w:rsid w:val="005B7EC1"/>
    <w:rsid w:val="005D605E"/>
    <w:rsid w:val="005E62FB"/>
    <w:rsid w:val="005F062D"/>
    <w:rsid w:val="00611F0D"/>
    <w:rsid w:val="00617FA8"/>
    <w:rsid w:val="006252FB"/>
    <w:rsid w:val="00627850"/>
    <w:rsid w:val="0063212E"/>
    <w:rsid w:val="00635641"/>
    <w:rsid w:val="00641388"/>
    <w:rsid w:val="006503A2"/>
    <w:rsid w:val="006520C4"/>
    <w:rsid w:val="00652602"/>
    <w:rsid w:val="006720FA"/>
    <w:rsid w:val="00677633"/>
    <w:rsid w:val="00677F81"/>
    <w:rsid w:val="0068417D"/>
    <w:rsid w:val="006D0E04"/>
    <w:rsid w:val="006F228E"/>
    <w:rsid w:val="006F7627"/>
    <w:rsid w:val="00700F2B"/>
    <w:rsid w:val="00727932"/>
    <w:rsid w:val="007320F8"/>
    <w:rsid w:val="00744A3E"/>
    <w:rsid w:val="00747905"/>
    <w:rsid w:val="00755D45"/>
    <w:rsid w:val="0075754F"/>
    <w:rsid w:val="007641EE"/>
    <w:rsid w:val="00772377"/>
    <w:rsid w:val="007743C7"/>
    <w:rsid w:val="007A114B"/>
    <w:rsid w:val="007A116B"/>
    <w:rsid w:val="007A5A4F"/>
    <w:rsid w:val="007B4FEB"/>
    <w:rsid w:val="007C7FB2"/>
    <w:rsid w:val="007D63DF"/>
    <w:rsid w:val="007E1822"/>
    <w:rsid w:val="007E4954"/>
    <w:rsid w:val="007E5924"/>
    <w:rsid w:val="007F2049"/>
    <w:rsid w:val="007F4DA2"/>
    <w:rsid w:val="007F5573"/>
    <w:rsid w:val="00801169"/>
    <w:rsid w:val="008011F2"/>
    <w:rsid w:val="00807FFB"/>
    <w:rsid w:val="008305EA"/>
    <w:rsid w:val="00833B71"/>
    <w:rsid w:val="00844F00"/>
    <w:rsid w:val="00845B7C"/>
    <w:rsid w:val="00847EE3"/>
    <w:rsid w:val="00854F96"/>
    <w:rsid w:val="00882931"/>
    <w:rsid w:val="008A0591"/>
    <w:rsid w:val="008A4D80"/>
    <w:rsid w:val="008A52D2"/>
    <w:rsid w:val="008E103B"/>
    <w:rsid w:val="008E2641"/>
    <w:rsid w:val="008E7D38"/>
    <w:rsid w:val="00901D63"/>
    <w:rsid w:val="009049EB"/>
    <w:rsid w:val="009128F6"/>
    <w:rsid w:val="00914F97"/>
    <w:rsid w:val="00915717"/>
    <w:rsid w:val="00946F0E"/>
    <w:rsid w:val="00947237"/>
    <w:rsid w:val="00960520"/>
    <w:rsid w:val="00970C88"/>
    <w:rsid w:val="00976AE8"/>
    <w:rsid w:val="009770E5"/>
    <w:rsid w:val="00982293"/>
    <w:rsid w:val="00983AD5"/>
    <w:rsid w:val="00995653"/>
    <w:rsid w:val="009B7854"/>
    <w:rsid w:val="009F0FB9"/>
    <w:rsid w:val="009F2BA6"/>
    <w:rsid w:val="00A141C1"/>
    <w:rsid w:val="00A1533E"/>
    <w:rsid w:val="00A205A9"/>
    <w:rsid w:val="00A33E28"/>
    <w:rsid w:val="00A35D43"/>
    <w:rsid w:val="00A422E8"/>
    <w:rsid w:val="00A439FF"/>
    <w:rsid w:val="00A478A2"/>
    <w:rsid w:val="00A56F0B"/>
    <w:rsid w:val="00A61371"/>
    <w:rsid w:val="00A6310A"/>
    <w:rsid w:val="00A750F1"/>
    <w:rsid w:val="00A76132"/>
    <w:rsid w:val="00A82D0E"/>
    <w:rsid w:val="00A92E49"/>
    <w:rsid w:val="00AA311A"/>
    <w:rsid w:val="00AC5276"/>
    <w:rsid w:val="00AC6D00"/>
    <w:rsid w:val="00AD3BCB"/>
    <w:rsid w:val="00AD49EE"/>
    <w:rsid w:val="00AE03E3"/>
    <w:rsid w:val="00AF2F14"/>
    <w:rsid w:val="00AF6E3D"/>
    <w:rsid w:val="00B07C4A"/>
    <w:rsid w:val="00B2451D"/>
    <w:rsid w:val="00B24B4C"/>
    <w:rsid w:val="00B37669"/>
    <w:rsid w:val="00B815DD"/>
    <w:rsid w:val="00B87F6E"/>
    <w:rsid w:val="00B94317"/>
    <w:rsid w:val="00BA5CF1"/>
    <w:rsid w:val="00BD0DA5"/>
    <w:rsid w:val="00BD3E21"/>
    <w:rsid w:val="00BE0A7F"/>
    <w:rsid w:val="00BE2113"/>
    <w:rsid w:val="00BE234C"/>
    <w:rsid w:val="00BE3000"/>
    <w:rsid w:val="00BE7F72"/>
    <w:rsid w:val="00BF06CC"/>
    <w:rsid w:val="00C1678F"/>
    <w:rsid w:val="00C240AF"/>
    <w:rsid w:val="00C44889"/>
    <w:rsid w:val="00C461BF"/>
    <w:rsid w:val="00C46B1B"/>
    <w:rsid w:val="00C4784C"/>
    <w:rsid w:val="00C50FD4"/>
    <w:rsid w:val="00C6741F"/>
    <w:rsid w:val="00C7071F"/>
    <w:rsid w:val="00C95717"/>
    <w:rsid w:val="00CA786F"/>
    <w:rsid w:val="00CC28FC"/>
    <w:rsid w:val="00CF4998"/>
    <w:rsid w:val="00CF6887"/>
    <w:rsid w:val="00D018E8"/>
    <w:rsid w:val="00D11F08"/>
    <w:rsid w:val="00D21344"/>
    <w:rsid w:val="00D273A1"/>
    <w:rsid w:val="00D307A2"/>
    <w:rsid w:val="00D35F4F"/>
    <w:rsid w:val="00D44061"/>
    <w:rsid w:val="00D46B15"/>
    <w:rsid w:val="00D55F2B"/>
    <w:rsid w:val="00D6464E"/>
    <w:rsid w:val="00D67D3C"/>
    <w:rsid w:val="00D70344"/>
    <w:rsid w:val="00D709FD"/>
    <w:rsid w:val="00D96559"/>
    <w:rsid w:val="00DA53FD"/>
    <w:rsid w:val="00DB364F"/>
    <w:rsid w:val="00DC1283"/>
    <w:rsid w:val="00DC7E32"/>
    <w:rsid w:val="00DD4850"/>
    <w:rsid w:val="00DE4B5E"/>
    <w:rsid w:val="00DF418F"/>
    <w:rsid w:val="00DF54F6"/>
    <w:rsid w:val="00E104A6"/>
    <w:rsid w:val="00E10EBA"/>
    <w:rsid w:val="00E13AC7"/>
    <w:rsid w:val="00E14CD6"/>
    <w:rsid w:val="00E21EAC"/>
    <w:rsid w:val="00E24EE0"/>
    <w:rsid w:val="00E30F8A"/>
    <w:rsid w:val="00E5291C"/>
    <w:rsid w:val="00E5319A"/>
    <w:rsid w:val="00E54857"/>
    <w:rsid w:val="00E6611A"/>
    <w:rsid w:val="00E6710A"/>
    <w:rsid w:val="00E87877"/>
    <w:rsid w:val="00E950CC"/>
    <w:rsid w:val="00EA169E"/>
    <w:rsid w:val="00EA1996"/>
    <w:rsid w:val="00EA1BFE"/>
    <w:rsid w:val="00EA6FEC"/>
    <w:rsid w:val="00EC4E08"/>
    <w:rsid w:val="00EE0800"/>
    <w:rsid w:val="00EE131D"/>
    <w:rsid w:val="00EE7D20"/>
    <w:rsid w:val="00EF4D1F"/>
    <w:rsid w:val="00EF588B"/>
    <w:rsid w:val="00EF7251"/>
    <w:rsid w:val="00EF7D37"/>
    <w:rsid w:val="00F04823"/>
    <w:rsid w:val="00F10803"/>
    <w:rsid w:val="00F1290B"/>
    <w:rsid w:val="00F14552"/>
    <w:rsid w:val="00F147B0"/>
    <w:rsid w:val="00F20213"/>
    <w:rsid w:val="00F24F1F"/>
    <w:rsid w:val="00F27688"/>
    <w:rsid w:val="00F356E0"/>
    <w:rsid w:val="00F40EC4"/>
    <w:rsid w:val="00F7257C"/>
    <w:rsid w:val="00F72CDF"/>
    <w:rsid w:val="00F83565"/>
    <w:rsid w:val="00F848C0"/>
    <w:rsid w:val="00F979D0"/>
    <w:rsid w:val="00FA2BFE"/>
    <w:rsid w:val="00FB01C5"/>
    <w:rsid w:val="00FB0773"/>
    <w:rsid w:val="00FB112E"/>
    <w:rsid w:val="00FB7C20"/>
    <w:rsid w:val="00FD0FA7"/>
    <w:rsid w:val="00FD6F47"/>
    <w:rsid w:val="00FE29D4"/>
    <w:rsid w:val="00FE590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315B1"/>
  <w15:docId w15:val="{28C5C1B1-F702-4E53-9A72-616EAF9C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1" w:lineRule="auto"/>
      <w:ind w:left="975" w:right="1" w:hanging="370"/>
      <w:jc w:val="both"/>
    </w:pPr>
    <w:rPr>
      <w:rFonts w:ascii="Arial" w:eastAsia="Arial" w:hAnsi="Arial" w:cs="Arial"/>
      <w:color w:val="000000"/>
      <w:sz w:val="20"/>
    </w:rPr>
  </w:style>
  <w:style w:type="paragraph" w:styleId="Titre1">
    <w:name w:val="heading 1"/>
    <w:next w:val="Normal"/>
    <w:link w:val="Titre1Car"/>
    <w:uiPriority w:val="9"/>
    <w:qFormat/>
    <w:pPr>
      <w:keepNext/>
      <w:keepLines/>
      <w:spacing w:after="0"/>
      <w:ind w:left="144" w:hanging="10"/>
      <w:outlineLvl w:val="0"/>
    </w:pPr>
    <w:rPr>
      <w:rFonts w:ascii="Arial" w:eastAsia="Arial" w:hAnsi="Arial" w:cs="Arial"/>
      <w:b/>
      <w:color w:val="000000"/>
      <w:sz w:val="2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20"/>
      <w:u w:val="single" w:color="000000"/>
    </w:rPr>
  </w:style>
  <w:style w:type="paragraph" w:customStyle="1" w:styleId="footnotedescription">
    <w:name w:val="footnote description"/>
    <w:next w:val="Normal"/>
    <w:link w:val="footnotedescriptionChar"/>
    <w:hidden/>
    <w:pPr>
      <w:spacing w:after="0"/>
      <w:ind w:left="245"/>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0A7394"/>
    <w:pPr>
      <w:ind w:left="720"/>
      <w:contextualSpacing/>
    </w:pPr>
  </w:style>
  <w:style w:type="paragraph" w:styleId="Pieddepage">
    <w:name w:val="footer"/>
    <w:basedOn w:val="Normal"/>
    <w:link w:val="PieddepageCar"/>
    <w:uiPriority w:val="99"/>
    <w:unhideWhenUsed/>
    <w:rsid w:val="00F1290B"/>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PieddepageCar">
    <w:name w:val="Pied de page Car"/>
    <w:basedOn w:val="Policepardfaut"/>
    <w:link w:val="Pieddepage"/>
    <w:uiPriority w:val="99"/>
    <w:rsid w:val="00F1290B"/>
    <w:rPr>
      <w:rFonts w:cs="Times New Roman"/>
    </w:rPr>
  </w:style>
  <w:style w:type="character" w:styleId="Lienhypertexte">
    <w:name w:val="Hyperlink"/>
    <w:basedOn w:val="Policepardfaut"/>
    <w:uiPriority w:val="99"/>
    <w:unhideWhenUsed/>
    <w:rsid w:val="00474004"/>
    <w:rPr>
      <w:color w:val="0563C1" w:themeColor="hyperlink"/>
      <w:u w:val="single"/>
    </w:rPr>
  </w:style>
  <w:style w:type="character" w:styleId="Mentionnonrsolue">
    <w:name w:val="Unresolved Mention"/>
    <w:basedOn w:val="Policepardfaut"/>
    <w:uiPriority w:val="99"/>
    <w:semiHidden/>
    <w:unhideWhenUsed/>
    <w:rsid w:val="00474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enan.padonoumowakoumgar@un.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bdoulaye.seye@un.org"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jpg"/><Relationship Id="rId1" Type="http://schemas.openxmlformats.org/officeDocument/2006/relationships/image" Target="media/image3.jpg"/><Relationship Id="rId5" Type="http://schemas.openxmlformats.org/officeDocument/2006/relationships/image" Target="media/image5.png"/><Relationship Id="rId4"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8B1A8-020B-434D-B7A3-9FAC2AA0C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2041</Words>
  <Characters>11228</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Kankpenandja Tiem</dc:creator>
  <cp:keywords/>
  <cp:lastModifiedBy>Abdoulaye Seye</cp:lastModifiedBy>
  <cp:revision>33</cp:revision>
  <cp:lastPrinted>2023-03-07T06:29:00Z</cp:lastPrinted>
  <dcterms:created xsi:type="dcterms:W3CDTF">2023-03-26T15:03:00Z</dcterms:created>
  <dcterms:modified xsi:type="dcterms:W3CDTF">2023-04-04T13:00:00Z</dcterms:modified>
</cp:coreProperties>
</file>